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344068"/>
    <w:p w:rsidR="00000000" w:rsidRDefault="00344068"/>
    <w:p w:rsidR="00000000" w:rsidRPr="00051154" w:rsidRDefault="00051154" w:rsidP="00051154">
      <w:pPr>
        <w:jc w:val="center"/>
        <w:rPr>
          <w:b/>
          <w:sz w:val="24"/>
          <w:szCs w:val="24"/>
        </w:rPr>
      </w:pPr>
      <w:r w:rsidRPr="00051154">
        <w:rPr>
          <w:b/>
          <w:sz w:val="24"/>
          <w:szCs w:val="24"/>
        </w:rPr>
        <w:t>ANEXO IV</w:t>
      </w:r>
    </w:p>
    <w:p w:rsidR="00051154" w:rsidRPr="00051154" w:rsidRDefault="00051154" w:rsidP="00051154">
      <w:pPr>
        <w:jc w:val="center"/>
        <w:rPr>
          <w:b/>
          <w:sz w:val="24"/>
          <w:szCs w:val="24"/>
        </w:rPr>
      </w:pPr>
    </w:p>
    <w:p w:rsidR="00051154" w:rsidRPr="00051154" w:rsidRDefault="00051154" w:rsidP="00051154">
      <w:pPr>
        <w:jc w:val="center"/>
        <w:rPr>
          <w:b/>
          <w:sz w:val="24"/>
          <w:szCs w:val="24"/>
        </w:rPr>
      </w:pPr>
      <w:r w:rsidRPr="00051154">
        <w:rPr>
          <w:b/>
          <w:sz w:val="24"/>
          <w:szCs w:val="24"/>
        </w:rPr>
        <w:t>ESPECIFICAÇÕES TÉCNICAS</w:t>
      </w:r>
    </w:p>
    <w:p w:rsidR="00051154" w:rsidRDefault="00051154"/>
    <w:p w:rsidR="00AA4701" w:rsidRDefault="00AA4701"/>
    <w:p w:rsidR="00AA4701" w:rsidRDefault="00AA4701">
      <w:bookmarkStart w:id="0" w:name="_GoBack"/>
      <w:bookmarkEnd w:id="0"/>
    </w:p>
    <w:p w:rsidR="00AA4701" w:rsidRDefault="00051154" w:rsidP="00AA4701">
      <w:pPr>
        <w:rPr>
          <w:rFonts w:cs="Calibri"/>
          <w:sz w:val="24"/>
        </w:rPr>
      </w:pPr>
      <w:r>
        <w:t>ITEM 1:</w:t>
      </w:r>
      <w:r w:rsidR="00AA4701">
        <w:t xml:space="preserve"> </w:t>
      </w:r>
      <w:r w:rsidRPr="00051154">
        <w:rPr>
          <w:rFonts w:cs="Calibri"/>
          <w:b/>
          <w:sz w:val="24"/>
        </w:rPr>
        <w:t>Conjunto Máquina Forrageira</w:t>
      </w:r>
      <w:r w:rsidRPr="00051154">
        <w:rPr>
          <w:rFonts w:cs="Calibri"/>
          <w:sz w:val="24"/>
        </w:rPr>
        <w:t xml:space="preserve"> composto de: </w:t>
      </w:r>
    </w:p>
    <w:p w:rsidR="00AA4701" w:rsidRDefault="00AA4701" w:rsidP="00AA4701">
      <w:pPr>
        <w:rPr>
          <w:rFonts w:cs="Calibri"/>
          <w:b/>
          <w:sz w:val="24"/>
        </w:rPr>
      </w:pPr>
    </w:p>
    <w:p w:rsidR="00051154" w:rsidRPr="00051154" w:rsidRDefault="00051154" w:rsidP="00AA4701">
      <w:pPr>
        <w:jc w:val="both"/>
        <w:rPr>
          <w:rFonts w:cs="Calibri"/>
          <w:sz w:val="24"/>
        </w:rPr>
      </w:pPr>
      <w:r w:rsidRPr="00051154">
        <w:rPr>
          <w:rFonts w:cs="Calibri"/>
          <w:b/>
          <w:sz w:val="24"/>
        </w:rPr>
        <w:t>MOTOR DIESEL</w:t>
      </w:r>
      <w:r w:rsidRPr="00051154">
        <w:rPr>
          <w:rFonts w:cs="Calibri"/>
          <w:sz w:val="24"/>
        </w:rPr>
        <w:t xml:space="preserve"> horizontal a 4 tempos; monocilíndrico; potência intermitente mínima de 9 </w:t>
      </w:r>
      <w:proofErr w:type="spellStart"/>
      <w:r w:rsidRPr="00051154">
        <w:rPr>
          <w:rFonts w:cs="Calibri"/>
          <w:sz w:val="24"/>
        </w:rPr>
        <w:t>cv</w:t>
      </w:r>
      <w:proofErr w:type="spellEnd"/>
      <w:r w:rsidRPr="00051154">
        <w:rPr>
          <w:rFonts w:cs="Calibri"/>
          <w:sz w:val="24"/>
        </w:rPr>
        <w:t xml:space="preserve">; rotação mínima 1750 rpm; sistema de lubrificação forçada por bomba de óleo; refrigeração a ar; partida manual; sentido de rotação anti-horário (visto pelo lado do volante); </w:t>
      </w:r>
      <w:r w:rsidRPr="00051154">
        <w:rPr>
          <w:rFonts w:cs="Calibri"/>
          <w:b/>
          <w:sz w:val="24"/>
        </w:rPr>
        <w:t>TRITURADOR FORRAGEIRO</w:t>
      </w:r>
      <w:r w:rsidRPr="00051154">
        <w:rPr>
          <w:rFonts w:cs="Calibri"/>
          <w:sz w:val="24"/>
        </w:rPr>
        <w:t xml:space="preserve"> (</w:t>
      </w:r>
      <w:proofErr w:type="spellStart"/>
      <w:r w:rsidRPr="00051154">
        <w:rPr>
          <w:rFonts w:cs="Calibri"/>
          <w:sz w:val="24"/>
        </w:rPr>
        <w:t>desintegrador</w:t>
      </w:r>
      <w:proofErr w:type="spellEnd"/>
      <w:r w:rsidRPr="00051154">
        <w:rPr>
          <w:rFonts w:cs="Calibri"/>
          <w:sz w:val="24"/>
        </w:rPr>
        <w:t xml:space="preserve">, picador e moedor) com produção acima de 1300 Kg/h de forragem; tamanho do corte: 5-8 mm; rotação 1750 rpm ou superior; Peneiras (1.0mm, 3.0mm, 5.0mm, 10.0mm e fundo cego); número mínimo de facas: 2; </w:t>
      </w:r>
      <w:r w:rsidRPr="00051154">
        <w:rPr>
          <w:rFonts w:cs="Calibri"/>
          <w:b/>
          <w:sz w:val="24"/>
        </w:rPr>
        <w:t>PICADOR FORRAGEIRO</w:t>
      </w:r>
      <w:r w:rsidRPr="00051154">
        <w:rPr>
          <w:rFonts w:cs="Calibri"/>
          <w:sz w:val="24"/>
        </w:rPr>
        <w:t xml:space="preserve"> (para palma, mandacaru e mandioca) com produção de mínima 3000 Kg/h; </w:t>
      </w:r>
      <w:r w:rsidRPr="00051154">
        <w:rPr>
          <w:rFonts w:cs="Calibri"/>
          <w:b/>
          <w:sz w:val="24"/>
        </w:rPr>
        <w:t>BASE UNIVERSAL</w:t>
      </w:r>
      <w:r w:rsidRPr="00051154">
        <w:rPr>
          <w:rFonts w:cs="Calibri"/>
          <w:sz w:val="24"/>
        </w:rPr>
        <w:t xml:space="preserve"> compatível com motor diesel e específica para o conjunto; </w:t>
      </w:r>
      <w:r w:rsidRPr="00051154">
        <w:rPr>
          <w:rFonts w:cs="Calibri"/>
          <w:b/>
          <w:sz w:val="24"/>
        </w:rPr>
        <w:t>POLIA</w:t>
      </w:r>
      <w:r w:rsidRPr="00051154">
        <w:rPr>
          <w:rFonts w:cs="Calibri"/>
          <w:sz w:val="24"/>
        </w:rPr>
        <w:t>(s) compatível(</w:t>
      </w:r>
      <w:proofErr w:type="spellStart"/>
      <w:r w:rsidRPr="00051154">
        <w:rPr>
          <w:rFonts w:cs="Calibri"/>
          <w:sz w:val="24"/>
        </w:rPr>
        <w:t>is</w:t>
      </w:r>
      <w:proofErr w:type="spellEnd"/>
      <w:r w:rsidRPr="00051154">
        <w:rPr>
          <w:rFonts w:cs="Calibri"/>
          <w:sz w:val="24"/>
        </w:rPr>
        <w:t xml:space="preserve">) com motor diesel e específica para o conjunto; </w:t>
      </w:r>
      <w:r w:rsidRPr="00051154">
        <w:rPr>
          <w:rFonts w:cs="Calibri"/>
          <w:b/>
          <w:sz w:val="24"/>
        </w:rPr>
        <w:t>CORREIA</w:t>
      </w:r>
      <w:r w:rsidRPr="00051154">
        <w:rPr>
          <w:rFonts w:cs="Calibri"/>
          <w:sz w:val="24"/>
        </w:rPr>
        <w:t>(s) compatível(</w:t>
      </w:r>
      <w:proofErr w:type="spellStart"/>
      <w:r w:rsidRPr="00051154">
        <w:rPr>
          <w:rFonts w:cs="Calibri"/>
          <w:sz w:val="24"/>
        </w:rPr>
        <w:t>is</w:t>
      </w:r>
      <w:proofErr w:type="spellEnd"/>
      <w:r w:rsidRPr="00051154">
        <w:rPr>
          <w:rFonts w:cs="Calibri"/>
          <w:sz w:val="24"/>
        </w:rPr>
        <w:t>) com motor diesel e específica para o conjunto.</w:t>
      </w:r>
    </w:p>
    <w:p w:rsidR="00051154" w:rsidRDefault="00051154"/>
    <w:p w:rsidR="00051154" w:rsidRDefault="00051154"/>
    <w:p w:rsidR="00AA4701" w:rsidRDefault="00AA4701" w:rsidP="00AA4701"/>
    <w:p w:rsidR="00AA4701" w:rsidRDefault="00AA4701" w:rsidP="00AA4701"/>
    <w:p w:rsidR="00AA4701" w:rsidRDefault="00051154" w:rsidP="00AA4701">
      <w:pPr>
        <w:rPr>
          <w:rFonts w:cs="Calibri"/>
          <w:sz w:val="24"/>
        </w:rPr>
      </w:pPr>
      <w:r>
        <w:t>ITEM 2:</w:t>
      </w:r>
      <w:r w:rsidR="00AA4701">
        <w:t xml:space="preserve"> </w:t>
      </w:r>
      <w:r w:rsidRPr="00051154">
        <w:rPr>
          <w:rFonts w:cs="Calibri"/>
          <w:b/>
          <w:sz w:val="24"/>
        </w:rPr>
        <w:t>Conjunto MOTOR/ENSILADEIRA</w:t>
      </w:r>
      <w:r w:rsidRPr="00051154">
        <w:rPr>
          <w:rFonts w:cs="Calibri"/>
          <w:sz w:val="24"/>
        </w:rPr>
        <w:t xml:space="preserve">, composto de: </w:t>
      </w:r>
    </w:p>
    <w:p w:rsidR="00AA4701" w:rsidRDefault="00AA4701" w:rsidP="00AA4701">
      <w:pPr>
        <w:rPr>
          <w:rFonts w:cs="Calibri"/>
          <w:b/>
          <w:sz w:val="24"/>
        </w:rPr>
      </w:pPr>
    </w:p>
    <w:p w:rsidR="00051154" w:rsidRPr="00AA4701" w:rsidRDefault="00051154" w:rsidP="00AA4701">
      <w:pPr>
        <w:jc w:val="both"/>
      </w:pPr>
      <w:r w:rsidRPr="00051154">
        <w:rPr>
          <w:rFonts w:cs="Calibri"/>
          <w:b/>
          <w:sz w:val="24"/>
        </w:rPr>
        <w:t xml:space="preserve">MÁQUINA ENSILADEIRA </w:t>
      </w:r>
      <w:r w:rsidRPr="00051154">
        <w:rPr>
          <w:rFonts w:cs="Calibri"/>
          <w:sz w:val="24"/>
        </w:rPr>
        <w:t xml:space="preserve">com produção de 2.500 a 9.000 kg/h ou superior; </w:t>
      </w:r>
      <w:r w:rsidRPr="00051154">
        <w:rPr>
          <w:rFonts w:cs="Calibri"/>
          <w:b/>
          <w:sz w:val="24"/>
        </w:rPr>
        <w:t>MOTOR DIESEL</w:t>
      </w:r>
      <w:r w:rsidRPr="00051154">
        <w:rPr>
          <w:rFonts w:cs="Calibri"/>
          <w:sz w:val="24"/>
        </w:rPr>
        <w:t xml:space="preserve"> de 12 HP ou superior, refrigerado a ar, cilindro vertical, partida manual, com polias e correias, montada em um </w:t>
      </w:r>
      <w:r w:rsidRPr="00051154">
        <w:rPr>
          <w:rFonts w:cs="Calibri"/>
          <w:b/>
          <w:sz w:val="24"/>
        </w:rPr>
        <w:t>REBOQUE</w:t>
      </w:r>
      <w:r w:rsidRPr="00051154">
        <w:rPr>
          <w:rFonts w:cs="Calibri"/>
          <w:sz w:val="24"/>
        </w:rPr>
        <w:t xml:space="preserve"> sobre rodas aro 13” providas de eixo, cubos e pneus, para tração veicular (carro ou moto), lastro em chapa dobrada 16, chassi viga “U” 3” x 1/8”, eixo tubo 2,5”, tamanho 1,70m x 0,90m, para-lamas em chapa 16, varão tubo de 2”, na chapa 14,  tendo acabamento com fundo anticorrosivo e pintura esmalte sintético, de fabricação nacional.</w:t>
      </w:r>
    </w:p>
    <w:p w:rsidR="00051154" w:rsidRDefault="00051154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000000" w:rsidRDefault="00344068"/>
    <w:p w:rsidR="00344068" w:rsidRDefault="00344068"/>
    <w:sectPr w:rsidR="00344068" w:rsidSect="00051154">
      <w:headerReference w:type="default" r:id="rId6"/>
      <w:footerReference w:type="default" r:id="rId7"/>
      <w:pgSz w:w="11907" w:h="16840" w:code="9"/>
      <w:pgMar w:top="1843" w:right="567" w:bottom="1134" w:left="1134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4068" w:rsidRDefault="00344068">
      <w:r>
        <w:separator/>
      </w:r>
    </w:p>
  </w:endnote>
  <w:endnote w:type="continuationSeparator" w:id="0">
    <w:p w:rsidR="00344068" w:rsidRDefault="00344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051154">
    <w:pPr>
      <w:pStyle w:val="Corpodetexto"/>
      <w:ind w:right="-425"/>
      <w:jc w:val="both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-22860</wp:posOffset>
              </wp:positionH>
              <wp:positionV relativeFrom="paragraph">
                <wp:posOffset>-27940</wp:posOffset>
              </wp:positionV>
              <wp:extent cx="6366510" cy="635"/>
              <wp:effectExtent l="0" t="0" r="0" b="0"/>
              <wp:wrapNone/>
              <wp:docPr id="2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6651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84C4A3" id="Line 1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8pt,-2.2pt" to="499.5pt,-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" strokeweight="1pt"/>
          </w:pict>
        </mc:Fallback>
      </mc:AlternateContent>
    </w:r>
  </w:p>
  <w:p w:rsidR="00000000" w:rsidRDefault="00051154">
    <w:pPr>
      <w:pStyle w:val="Corpodetex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0" allowOverlap="1">
              <wp:simplePos x="0" y="0"/>
              <wp:positionH relativeFrom="column">
                <wp:posOffset>42545</wp:posOffset>
              </wp:positionH>
              <wp:positionV relativeFrom="paragraph">
                <wp:posOffset>-54610</wp:posOffset>
              </wp:positionV>
              <wp:extent cx="988695" cy="172085"/>
              <wp:effectExtent l="0" t="0" r="0" b="0"/>
              <wp:wrapNone/>
              <wp:docPr id="1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88695" cy="172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000000" w:rsidRDefault="00344068">
                          <w:pPr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b/>
                              <w:sz w:val="14"/>
                            </w:rPr>
                            <w:t>FOR-003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1027" style="position:absolute;left:0;text-align:left;margin-left:3.35pt;margin-top:-4.3pt;width:77.85pt;height:13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" o:allowincell="f" filled="f" stroked="f" strokeweight="1pt">
              <v:textbox inset="1pt,1pt,1pt,1pt">
                <w:txbxContent>
                  <w:p w:rsidR="00000000" w:rsidRDefault="00344068">
                    <w:pPr>
                      <w:rPr>
                        <w:b/>
                        <w:sz w:val="14"/>
                      </w:rPr>
                    </w:pPr>
                    <w:r>
                      <w:rPr>
                        <w:b/>
                        <w:sz w:val="14"/>
                      </w:rPr>
                      <w:t>FOR-003</w:t>
                    </w:r>
                  </w:p>
                </w:txbxContent>
              </v:textbox>
            </v:rect>
          </w:pict>
        </mc:Fallback>
      </mc:AlternateContent>
    </w:r>
  </w:p>
  <w:p w:rsidR="00000000" w:rsidRDefault="0034406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4068" w:rsidRDefault="00344068">
      <w:r>
        <w:separator/>
      </w:r>
    </w:p>
  </w:footnote>
  <w:footnote w:type="continuationSeparator" w:id="0">
    <w:p w:rsidR="00344068" w:rsidRDefault="00344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051154">
    <w:pPr>
      <w:pStyle w:val="Cabealho"/>
      <w:tabs>
        <w:tab w:val="left" w:pos="28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1799590</wp:posOffset>
              </wp:positionH>
              <wp:positionV relativeFrom="paragraph">
                <wp:posOffset>30480</wp:posOffset>
              </wp:positionV>
              <wp:extent cx="4929505" cy="506095"/>
              <wp:effectExtent l="0" t="0" r="0" b="0"/>
              <wp:wrapNone/>
              <wp:docPr id="4" name="Rectangl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29505" cy="506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70" w:type="dxa"/>
                            <w:tblLayout w:type="fixed"/>
                            <w:tblCellMar>
                              <w:left w:w="70" w:type="dxa"/>
                              <w:right w:w="7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9498"/>
                          </w:tblGrid>
                          <w:tr w:rsidR="00000000">
                            <w:tblPrEx>
                              <w:tblCellMar>
                                <w:top w:w="0" w:type="dxa"/>
                                <w:bottom w:w="0" w:type="dxa"/>
                              </w:tblCellMar>
                            </w:tblPrEx>
                            <w:tc>
                              <w:tcPr>
                                <w:tcW w:w="9498" w:type="dxa"/>
                              </w:tcPr>
                              <w:p w:rsidR="00000000" w:rsidRDefault="00344068">
                                <w:pPr>
                                  <w:pStyle w:val="Ttulo1"/>
                                  <w:jc w:val="left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sz w:val="22"/>
                                  </w:rPr>
                                  <w:t xml:space="preserve">Ministério   da   Integração   </w:t>
                                </w:r>
                                <w:proofErr w:type="gramStart"/>
                                <w:r>
                                  <w:rPr>
                                    <w:sz w:val="22"/>
                                  </w:rPr>
                                  <w:t>Nacional  -</w:t>
                                </w:r>
                                <w:proofErr w:type="gramEnd"/>
                                <w:r>
                                  <w:rPr>
                                    <w:sz w:val="22"/>
                                  </w:rPr>
                                  <w:t xml:space="preserve">  M I</w:t>
                                </w:r>
                              </w:p>
                            </w:tc>
                          </w:tr>
                          <w:tr w:rsidR="00000000">
                            <w:tblPrEx>
                              <w:tblCellMar>
                                <w:top w:w="0" w:type="dxa"/>
                                <w:bottom w:w="0" w:type="dxa"/>
                              </w:tblCellMar>
                            </w:tblPrEx>
                            <w:trPr>
                              <w:trHeight w:val="345"/>
                            </w:trPr>
                            <w:tc>
                              <w:tcPr>
                                <w:tcW w:w="9498" w:type="dxa"/>
                              </w:tcPr>
                              <w:p w:rsidR="00000000" w:rsidRDefault="00344068">
                                <w:pPr>
                                  <w:pStyle w:val="Ttulo2"/>
                                  <w:jc w:val="left"/>
                                  <w:rPr>
                                    <w:rFonts w:ascii="Times New Roman" w:hAnsi="Times New Roman"/>
                                    <w:sz w:val="22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2"/>
                                  </w:rPr>
                                  <w:t>Companhia de Desenvolvimento dos Vales do São Francisco e do Parn</w:t>
                                </w:r>
                                <w:r>
                                  <w:rPr>
                                    <w:rFonts w:ascii="Times New Roman" w:hAnsi="Times New Roman"/>
                                    <w:sz w:val="22"/>
                                  </w:rPr>
                                  <w:t>aíba</w:t>
                                </w:r>
                              </w:p>
                              <w:p w:rsidR="00051154" w:rsidRPr="00051154" w:rsidRDefault="00051154" w:rsidP="00051154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Área de Revitalização de Bacias Hidrográficas – 6ª GRR/UDT</w:t>
                                </w:r>
                              </w:p>
                              <w:p w:rsidR="00000000" w:rsidRDefault="00344068">
                                <w:pPr>
                                  <w:rPr>
                                    <w:sz w:val="22"/>
                                  </w:rPr>
                                </w:pPr>
                              </w:p>
                            </w:tc>
                          </w:tr>
                        </w:tbl>
                        <w:p w:rsidR="00000000" w:rsidRDefault="00344068"/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7" o:spid="_x0000_s1026" style="position:absolute;margin-left:141.7pt;margin-top:2.4pt;width:388.15pt;height:39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" filled="f" stroked="f" strokecolor="blue" strokeweight="1pt">
              <v:textbox inset="1pt,1pt,1pt,1pt">
                <w:txbxContent>
                  <w:tbl>
                    <w:tblPr>
                      <w:tblW w:w="0" w:type="auto"/>
                      <w:tblInd w:w="70" w:type="dxa"/>
                      <w:tblLayout w:type="fixed"/>
                      <w:tblCellMar>
                        <w:left w:w="70" w:type="dxa"/>
                        <w:right w:w="7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9498"/>
                    </w:tblGrid>
                    <w:tr w:rsidR="00000000">
                      <w:tblPrEx>
                        <w:tblCellMar>
                          <w:top w:w="0" w:type="dxa"/>
                          <w:bottom w:w="0" w:type="dxa"/>
                        </w:tblCellMar>
                      </w:tblPrEx>
                      <w:tc>
                        <w:tcPr>
                          <w:tcW w:w="9498" w:type="dxa"/>
                        </w:tcPr>
                        <w:p w:rsidR="00000000" w:rsidRDefault="00344068">
                          <w:pPr>
                            <w:pStyle w:val="Ttulo1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 xml:space="preserve">Ministério   da   Integração   </w:t>
                          </w:r>
                          <w:proofErr w:type="gramStart"/>
                          <w:r>
                            <w:rPr>
                              <w:sz w:val="22"/>
                            </w:rPr>
                            <w:t>Nacional  -</w:t>
                          </w:r>
                          <w:proofErr w:type="gramEnd"/>
                          <w:r>
                            <w:rPr>
                              <w:sz w:val="22"/>
                            </w:rPr>
                            <w:t xml:space="preserve">  M I</w:t>
                          </w:r>
                        </w:p>
                      </w:tc>
                    </w:tr>
                    <w:tr w:rsidR="00000000">
                      <w:tblPrEx>
                        <w:tblCellMar>
                          <w:top w:w="0" w:type="dxa"/>
                          <w:bottom w:w="0" w:type="dxa"/>
                        </w:tblCellMar>
                      </w:tblPrEx>
                      <w:trPr>
                        <w:trHeight w:val="345"/>
                      </w:trPr>
                      <w:tc>
                        <w:tcPr>
                          <w:tcW w:w="9498" w:type="dxa"/>
                        </w:tcPr>
                        <w:p w:rsidR="00000000" w:rsidRDefault="00344068">
                          <w:pPr>
                            <w:pStyle w:val="Ttulo2"/>
                            <w:jc w:val="left"/>
                            <w:rPr>
                              <w:rFonts w:ascii="Times New Roman" w:hAnsi="Times New Roman"/>
                              <w:sz w:val="22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2"/>
                            </w:rPr>
                            <w:t>Companhia de Desenvolvimento dos Vales do São Francisco e do Parn</w:t>
                          </w:r>
                          <w:r>
                            <w:rPr>
                              <w:rFonts w:ascii="Times New Roman" w:hAnsi="Times New Roman"/>
                              <w:sz w:val="22"/>
                            </w:rPr>
                            <w:t>aíba</w:t>
                          </w:r>
                        </w:p>
                        <w:p w:rsidR="00051154" w:rsidRPr="00051154" w:rsidRDefault="00051154" w:rsidP="00051154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Área de Revitalização de Bacias Hidrográficas – 6ª GRR/UDT</w:t>
                          </w:r>
                        </w:p>
                        <w:p w:rsidR="00000000" w:rsidRDefault="00344068">
                          <w:pPr>
                            <w:rPr>
                              <w:sz w:val="22"/>
                            </w:rPr>
                          </w:pPr>
                        </w:p>
                      </w:tc>
                    </w:tr>
                  </w:tbl>
                  <w:p w:rsidR="00000000" w:rsidRDefault="00344068"/>
                </w:txbxContent>
              </v:textbox>
            </v:rect>
          </w:pict>
        </mc:Fallback>
      </mc:AlternateContent>
    </w:r>
    <w:r>
      <w:rPr>
        <w:b/>
        <w:noProof/>
        <w:sz w:val="14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-16510</wp:posOffset>
              </wp:positionH>
              <wp:positionV relativeFrom="paragraph">
                <wp:posOffset>533400</wp:posOffset>
              </wp:positionV>
              <wp:extent cx="6405880" cy="3175"/>
              <wp:effectExtent l="0" t="0" r="0" b="0"/>
              <wp:wrapNone/>
              <wp:docPr id="3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5880" cy="31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30DAD9" id="Line 1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3pt,42pt" to="503.1pt,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"/>
          </w:pict>
        </mc:Fallback>
      </mc:AlternateContent>
    </w:r>
    <w:r w:rsidR="00344068">
      <w:rPr>
        <w:noProof/>
      </w:rPr>
      <w:object w:dxaOrig="9645" w:dyaOrig="19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6" type="#_x0000_t75" style="position:absolute;margin-left:.55pt;margin-top:3.75pt;width:125.55pt;height:25.2pt;z-index:251659776;mso-position-horizontal-relative:text;mso-position-vertical-relative:text" o:allowincell="f">
          <v:imagedata r:id="rId1" o:title=""/>
        </v:shape>
        <o:OLEObject Type="Embed" ProgID="MSPhotoEd.3" ShapeID="_x0000_s2066" DrawAspect="Content" ObjectID="_1585653536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154"/>
    <w:rsid w:val="00051154"/>
    <w:rsid w:val="00344068"/>
    <w:rsid w:val="00AA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7"/>
    <o:shapelayout v:ext="edit">
      <o:idmap v:ext="edit" data="1"/>
    </o:shapelayout>
  </w:shapeDefaults>
  <w:decimalSymbol w:val=","/>
  <w:listSeparator w:val=";"/>
  <w14:docId w14:val="7CAE1061"/>
  <w15:chartTrackingRefBased/>
  <w15:docId w15:val="{E6AC9A64-5CA9-4594-B224-51349B423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sz w:val="16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semiHidden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semiHidden/>
    <w:pPr>
      <w:jc w:val="center"/>
    </w:pPr>
    <w:rPr>
      <w:b/>
      <w:i/>
      <w:color w:val="00000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246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CODEVASF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CODEVASF</dc:creator>
  <cp:keywords/>
  <dc:description/>
  <cp:lastModifiedBy>Júlio César da Silva Santos</cp:lastModifiedBy>
  <cp:revision>3</cp:revision>
  <cp:lastPrinted>2002-11-19T12:08:00Z</cp:lastPrinted>
  <dcterms:created xsi:type="dcterms:W3CDTF">2018-04-19T17:30:00Z</dcterms:created>
  <dcterms:modified xsi:type="dcterms:W3CDTF">2018-04-19T17:33:00Z</dcterms:modified>
</cp:coreProperties>
</file>