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77" w:type="dxa"/>
        <w:tblCellMar>
          <w:left w:w="70" w:type="dxa"/>
          <w:right w:w="70" w:type="dxa"/>
        </w:tblCellMar>
        <w:tblLook w:val="04A0" w:firstRow="1" w:lastRow="0" w:firstColumn="1" w:lastColumn="0" w:noHBand="0" w:noVBand="1"/>
      </w:tblPr>
      <w:tblGrid>
        <w:gridCol w:w="666"/>
        <w:gridCol w:w="1086"/>
        <w:gridCol w:w="7610"/>
        <w:gridCol w:w="709"/>
        <w:gridCol w:w="1269"/>
        <w:gridCol w:w="1418"/>
        <w:gridCol w:w="1559"/>
        <w:gridCol w:w="9"/>
        <w:gridCol w:w="6"/>
        <w:gridCol w:w="145"/>
      </w:tblGrid>
      <w:tr w:rsidR="00965C8F" w:rsidRPr="00436B26" w:rsidTr="00DE52D9">
        <w:trPr>
          <w:gridAfter w:val="6"/>
          <w:wAfter w:w="4406" w:type="dxa"/>
          <w:trHeight w:val="66"/>
        </w:trPr>
        <w:tc>
          <w:tcPr>
            <w:tcW w:w="666"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520"/>
              <w:gridCol w:w="6"/>
            </w:tblGrid>
            <w:tr w:rsidR="00965C8F" w:rsidRPr="00436B26" w:rsidTr="00965C8F">
              <w:trPr>
                <w:trHeight w:val="375"/>
                <w:tblCellSpacing w:w="0" w:type="dxa"/>
              </w:trPr>
              <w:tc>
                <w:tcPr>
                  <w:tcW w:w="520" w:type="dxa"/>
                  <w:tcBorders>
                    <w:top w:val="nil"/>
                    <w:left w:val="nil"/>
                    <w:bottom w:val="nil"/>
                    <w:right w:val="nil"/>
                  </w:tcBorders>
                  <w:shd w:val="clear" w:color="auto" w:fill="auto"/>
                  <w:noWrap/>
                  <w:vAlign w:val="bottom"/>
                  <w:hideMark/>
                </w:tcPr>
                <w:p w:rsidR="00965C8F" w:rsidRPr="00436B26" w:rsidRDefault="00965C8F" w:rsidP="00552A27">
                  <w:pPr>
                    <w:spacing w:after="0" w:line="240" w:lineRule="auto"/>
                    <w:rPr>
                      <w:rFonts w:ascii="Times New Roman" w:eastAsia="Times New Roman" w:hAnsi="Times New Roman" w:cs="Times New Roman"/>
                      <w:color w:val="000000"/>
                      <w:lang w:eastAsia="pt-BR"/>
                    </w:rPr>
                  </w:pPr>
                </w:p>
              </w:tc>
              <w:tc>
                <w:tcPr>
                  <w:tcW w:w="6" w:type="dxa"/>
                  <w:tcBorders>
                    <w:top w:val="nil"/>
                    <w:left w:val="nil"/>
                    <w:bottom w:val="nil"/>
                    <w:right w:val="nil"/>
                  </w:tcBorders>
                </w:tcPr>
                <w:p w:rsidR="00965C8F" w:rsidRPr="00436B26" w:rsidRDefault="00965C8F" w:rsidP="00552A27">
                  <w:pPr>
                    <w:spacing w:after="0" w:line="240" w:lineRule="auto"/>
                    <w:rPr>
                      <w:rFonts w:ascii="Times New Roman" w:eastAsia="Times New Roman" w:hAnsi="Times New Roman" w:cs="Times New Roman"/>
                      <w:noProof/>
                      <w:color w:val="000000"/>
                      <w:lang w:eastAsia="pt-BR"/>
                    </w:rPr>
                  </w:pPr>
                </w:p>
              </w:tc>
            </w:tr>
          </w:tbl>
          <w:p w:rsidR="00965C8F" w:rsidRPr="00436B26" w:rsidRDefault="00965C8F" w:rsidP="00552A27">
            <w:pPr>
              <w:spacing w:after="0" w:line="240" w:lineRule="auto"/>
              <w:rPr>
                <w:rFonts w:ascii="Times New Roman" w:eastAsia="Times New Roman" w:hAnsi="Times New Roman" w:cs="Times New Roman"/>
                <w:color w:val="000000"/>
                <w:lang w:eastAsia="pt-BR"/>
              </w:rPr>
            </w:pPr>
          </w:p>
        </w:tc>
        <w:tc>
          <w:tcPr>
            <w:tcW w:w="1086" w:type="dxa"/>
            <w:tcBorders>
              <w:top w:val="nil"/>
              <w:left w:val="nil"/>
              <w:bottom w:val="nil"/>
              <w:right w:val="nil"/>
            </w:tcBorders>
            <w:shd w:val="clear" w:color="auto" w:fill="auto"/>
            <w:noWrap/>
            <w:vAlign w:val="bottom"/>
            <w:hideMark/>
          </w:tcPr>
          <w:p w:rsidR="00965C8F" w:rsidRPr="00436B26" w:rsidRDefault="00965C8F" w:rsidP="00552A27">
            <w:pPr>
              <w:spacing w:after="0" w:line="240" w:lineRule="auto"/>
              <w:rPr>
                <w:rFonts w:ascii="Times New Roman" w:eastAsia="Times New Roman" w:hAnsi="Times New Roman" w:cs="Times New Roman"/>
                <w:sz w:val="20"/>
                <w:szCs w:val="20"/>
                <w:lang w:eastAsia="pt-BR"/>
              </w:rPr>
            </w:pPr>
          </w:p>
        </w:tc>
        <w:tc>
          <w:tcPr>
            <w:tcW w:w="7610" w:type="dxa"/>
            <w:tcBorders>
              <w:top w:val="nil"/>
              <w:left w:val="nil"/>
              <w:bottom w:val="nil"/>
              <w:right w:val="nil"/>
            </w:tcBorders>
            <w:shd w:val="clear" w:color="auto" w:fill="auto"/>
            <w:noWrap/>
            <w:vAlign w:val="bottom"/>
            <w:hideMark/>
          </w:tcPr>
          <w:p w:rsidR="00965C8F" w:rsidRPr="00436B26" w:rsidRDefault="00965C8F" w:rsidP="00552A27">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rsidR="00965C8F" w:rsidRPr="00436B26" w:rsidRDefault="00965C8F" w:rsidP="00552A27">
            <w:pPr>
              <w:spacing w:after="0" w:line="240" w:lineRule="auto"/>
              <w:rPr>
                <w:rFonts w:ascii="Times New Roman" w:eastAsia="Times New Roman" w:hAnsi="Times New Roman" w:cs="Times New Roman"/>
                <w:sz w:val="20"/>
                <w:szCs w:val="20"/>
                <w:lang w:eastAsia="pt-BR"/>
              </w:rPr>
            </w:pPr>
          </w:p>
        </w:tc>
      </w:tr>
      <w:tr w:rsidR="00552A27" w:rsidRPr="00436B26" w:rsidTr="00DE52D9">
        <w:trPr>
          <w:gridAfter w:val="2"/>
          <w:wAfter w:w="151" w:type="dxa"/>
          <w:trHeight w:val="80"/>
        </w:trPr>
        <w:tc>
          <w:tcPr>
            <w:tcW w:w="666" w:type="dxa"/>
            <w:tcBorders>
              <w:top w:val="nil"/>
              <w:left w:val="nil"/>
              <w:bottom w:val="nil"/>
              <w:right w:val="nil"/>
            </w:tcBorders>
            <w:shd w:val="clear" w:color="auto" w:fill="auto"/>
            <w:noWrap/>
            <w:vAlign w:val="bottom"/>
            <w:hideMark/>
          </w:tcPr>
          <w:p w:rsidR="00552A27" w:rsidRPr="00436B26" w:rsidRDefault="00552A27" w:rsidP="00965C8F">
            <w:pPr>
              <w:spacing w:after="0" w:line="240" w:lineRule="auto"/>
              <w:rPr>
                <w:rFonts w:ascii="Times New Roman" w:eastAsia="Times New Roman" w:hAnsi="Times New Roman" w:cs="Times New Roman"/>
                <w:sz w:val="20"/>
                <w:szCs w:val="20"/>
                <w:lang w:eastAsia="pt-BR"/>
              </w:rPr>
            </w:pPr>
          </w:p>
        </w:tc>
        <w:tc>
          <w:tcPr>
            <w:tcW w:w="1086" w:type="dxa"/>
            <w:tcBorders>
              <w:top w:val="nil"/>
              <w:left w:val="nil"/>
              <w:bottom w:val="nil"/>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610" w:type="dxa"/>
            <w:tcBorders>
              <w:top w:val="nil"/>
              <w:left w:val="nil"/>
              <w:bottom w:val="nil"/>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1269" w:type="dxa"/>
            <w:tcBorders>
              <w:top w:val="nil"/>
              <w:left w:val="nil"/>
              <w:bottom w:val="nil"/>
              <w:right w:val="nil"/>
            </w:tcBorders>
            <w:shd w:val="clear" w:color="auto" w:fill="auto"/>
            <w:noWrap/>
            <w:vAlign w:val="center"/>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2986" w:type="dxa"/>
            <w:gridSpan w:val="3"/>
            <w:vMerge w:val="restart"/>
            <w:tcBorders>
              <w:top w:val="nil"/>
              <w:left w:val="nil"/>
              <w:bottom w:val="nil"/>
              <w:right w:val="nil"/>
            </w:tcBorders>
            <w:vAlign w:val="center"/>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r>
      <w:tr w:rsidR="00552A27" w:rsidRPr="00436B26" w:rsidTr="00DE52D9">
        <w:trPr>
          <w:gridAfter w:val="2"/>
          <w:wAfter w:w="151" w:type="dxa"/>
          <w:trHeight w:val="66"/>
        </w:trPr>
        <w:tc>
          <w:tcPr>
            <w:tcW w:w="666" w:type="dxa"/>
            <w:tcBorders>
              <w:top w:val="nil"/>
              <w:left w:val="nil"/>
              <w:bottom w:val="nil"/>
              <w:right w:val="nil"/>
            </w:tcBorders>
            <w:shd w:val="clear" w:color="auto" w:fill="auto"/>
            <w:noWrap/>
            <w:vAlign w:val="bottom"/>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1086" w:type="dxa"/>
            <w:tcBorders>
              <w:top w:val="nil"/>
              <w:left w:val="nil"/>
              <w:bottom w:val="nil"/>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610" w:type="dxa"/>
            <w:tcBorders>
              <w:top w:val="nil"/>
              <w:left w:val="nil"/>
              <w:bottom w:val="nil"/>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1269" w:type="dxa"/>
            <w:tcBorders>
              <w:top w:val="nil"/>
              <w:left w:val="nil"/>
              <w:bottom w:val="nil"/>
              <w:right w:val="nil"/>
            </w:tcBorders>
            <w:shd w:val="clear" w:color="auto" w:fill="auto"/>
            <w:noWrap/>
            <w:vAlign w:val="center"/>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2986" w:type="dxa"/>
            <w:gridSpan w:val="3"/>
            <w:vMerge/>
            <w:tcBorders>
              <w:top w:val="nil"/>
              <w:left w:val="nil"/>
              <w:bottom w:val="nil"/>
              <w:right w:val="nil"/>
            </w:tcBorders>
            <w:vAlign w:val="center"/>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r>
      <w:tr w:rsidR="00552A27" w:rsidRPr="00436B26" w:rsidTr="00DE52D9">
        <w:trPr>
          <w:gridAfter w:val="1"/>
          <w:wAfter w:w="145" w:type="dxa"/>
          <w:trHeight w:val="66"/>
        </w:trPr>
        <w:tc>
          <w:tcPr>
            <w:tcW w:w="14332" w:type="dxa"/>
            <w:gridSpan w:val="9"/>
            <w:tcBorders>
              <w:top w:val="nil"/>
              <w:left w:val="nil"/>
              <w:bottom w:val="single" w:sz="8" w:space="0" w:color="auto"/>
              <w:right w:val="nil"/>
            </w:tcBorders>
            <w:shd w:val="clear" w:color="auto" w:fill="auto"/>
            <w:noWrap/>
            <w:vAlign w:val="center"/>
            <w:hideMark/>
          </w:tcPr>
          <w:p w:rsidR="00552A27" w:rsidRPr="00436B26" w:rsidRDefault="00552A27" w:rsidP="00552A27">
            <w:pPr>
              <w:spacing w:after="0" w:line="240" w:lineRule="auto"/>
              <w:jc w:val="right"/>
              <w:rPr>
                <w:rFonts w:ascii="Times New Roman" w:eastAsia="Times New Roman" w:hAnsi="Times New Roman" w:cs="Times New Roman"/>
                <w:color w:val="000000"/>
                <w:lang w:eastAsia="pt-BR"/>
              </w:rPr>
            </w:pPr>
            <w:r w:rsidRPr="00436B26">
              <w:rPr>
                <w:rFonts w:ascii="Times New Roman" w:eastAsia="Times New Roman" w:hAnsi="Times New Roman" w:cs="Times New Roman"/>
                <w:color w:val="000000"/>
                <w:lang w:eastAsia="pt-BR"/>
              </w:rPr>
              <w:t xml:space="preserve">Fonte: COTAÇÃO </w:t>
            </w:r>
            <w:r w:rsidR="00DF184B">
              <w:rPr>
                <w:rFonts w:ascii="Times New Roman" w:eastAsia="Times New Roman" w:hAnsi="Times New Roman" w:cs="Times New Roman"/>
                <w:color w:val="000000"/>
                <w:lang w:eastAsia="pt-BR"/>
              </w:rPr>
              <w:t>Outubro</w:t>
            </w:r>
            <w:r w:rsidRPr="00436B26">
              <w:rPr>
                <w:rFonts w:ascii="Times New Roman" w:eastAsia="Times New Roman" w:hAnsi="Times New Roman" w:cs="Times New Roman"/>
                <w:color w:val="000000"/>
                <w:lang w:eastAsia="pt-BR"/>
              </w:rPr>
              <w:t>/2017</w:t>
            </w:r>
          </w:p>
        </w:tc>
      </w:tr>
      <w:tr w:rsidR="00552A27" w:rsidRPr="00436B26" w:rsidTr="00DE52D9">
        <w:trPr>
          <w:gridAfter w:val="1"/>
          <w:wAfter w:w="145" w:type="dxa"/>
          <w:trHeight w:val="735"/>
        </w:trPr>
        <w:tc>
          <w:tcPr>
            <w:tcW w:w="14332" w:type="dxa"/>
            <w:gridSpan w:val="9"/>
            <w:tcBorders>
              <w:top w:val="single" w:sz="8" w:space="0" w:color="auto"/>
              <w:left w:val="single" w:sz="8" w:space="0" w:color="auto"/>
              <w:bottom w:val="single" w:sz="8" w:space="0" w:color="auto"/>
              <w:right w:val="single" w:sz="8" w:space="0" w:color="000000"/>
            </w:tcBorders>
            <w:shd w:val="clear" w:color="000000" w:fill="D9D9D9"/>
            <w:vAlign w:val="center"/>
            <w:hideMark/>
          </w:tcPr>
          <w:p w:rsidR="00552A27" w:rsidRPr="00436B26" w:rsidRDefault="00552A27" w:rsidP="00552A27">
            <w:pPr>
              <w:spacing w:after="0" w:line="240" w:lineRule="auto"/>
              <w:jc w:val="center"/>
              <w:rPr>
                <w:rFonts w:ascii="Times New Roman" w:eastAsia="Times New Roman" w:hAnsi="Times New Roman" w:cs="Times New Roman"/>
                <w:b/>
                <w:bCs/>
                <w:color w:val="000000"/>
                <w:sz w:val="24"/>
                <w:szCs w:val="24"/>
                <w:lang w:eastAsia="pt-BR"/>
              </w:rPr>
            </w:pPr>
            <w:r w:rsidRPr="00436B26">
              <w:rPr>
                <w:rFonts w:ascii="Times New Roman" w:eastAsia="Times New Roman" w:hAnsi="Times New Roman" w:cs="Times New Roman"/>
                <w:b/>
                <w:bCs/>
                <w:color w:val="000000"/>
                <w:sz w:val="24"/>
                <w:szCs w:val="24"/>
                <w:lang w:eastAsia="pt-BR"/>
              </w:rPr>
              <w:t xml:space="preserve">ANEXO I - Planilha de Especificações, Quantitativos e Preços Máximos Estimados e Margem de Preferência                                                                                                                                                                                                                                     </w:t>
            </w:r>
            <w:r w:rsidR="00436B26">
              <w:rPr>
                <w:rFonts w:ascii="Times New Roman" w:eastAsia="Times New Roman" w:hAnsi="Times New Roman" w:cs="Times New Roman"/>
                <w:b/>
                <w:bCs/>
                <w:color w:val="000000"/>
                <w:sz w:val="24"/>
                <w:szCs w:val="24"/>
                <w:lang w:eastAsia="pt-BR"/>
              </w:rPr>
              <w:t xml:space="preserve">               6ª SUPERINTENDÊN</w:t>
            </w:r>
            <w:r w:rsidRPr="00436B26">
              <w:rPr>
                <w:rFonts w:ascii="Times New Roman" w:eastAsia="Times New Roman" w:hAnsi="Times New Roman" w:cs="Times New Roman"/>
                <w:b/>
                <w:bCs/>
                <w:color w:val="000000"/>
                <w:sz w:val="24"/>
                <w:szCs w:val="24"/>
                <w:lang w:eastAsia="pt-BR"/>
              </w:rPr>
              <w:t>CIA REGIONAL</w:t>
            </w:r>
          </w:p>
        </w:tc>
      </w:tr>
      <w:tr w:rsidR="00436B26" w:rsidRPr="00436B26" w:rsidTr="00DE52D9">
        <w:trPr>
          <w:gridAfter w:val="3"/>
          <w:wAfter w:w="160" w:type="dxa"/>
          <w:trHeight w:val="449"/>
        </w:trPr>
        <w:tc>
          <w:tcPr>
            <w:tcW w:w="666" w:type="dxa"/>
            <w:tcBorders>
              <w:top w:val="nil"/>
              <w:left w:val="single" w:sz="8" w:space="0" w:color="auto"/>
              <w:bottom w:val="single" w:sz="8" w:space="0" w:color="auto"/>
              <w:right w:val="nil"/>
            </w:tcBorders>
            <w:shd w:val="clear" w:color="000000" w:fill="FFFFFF"/>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Item</w:t>
            </w:r>
          </w:p>
        </w:tc>
        <w:tc>
          <w:tcPr>
            <w:tcW w:w="1086" w:type="dxa"/>
            <w:tcBorders>
              <w:top w:val="nil"/>
              <w:left w:val="single" w:sz="8" w:space="0" w:color="auto"/>
              <w:bottom w:val="single" w:sz="8" w:space="0" w:color="auto"/>
              <w:right w:val="single" w:sz="8" w:space="0" w:color="auto"/>
            </w:tcBorders>
            <w:shd w:val="clear" w:color="000000" w:fill="FFFFFF"/>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CATMAT</w:t>
            </w:r>
          </w:p>
        </w:tc>
        <w:tc>
          <w:tcPr>
            <w:tcW w:w="7610" w:type="dxa"/>
            <w:tcBorders>
              <w:top w:val="nil"/>
              <w:left w:val="nil"/>
              <w:bottom w:val="single" w:sz="8" w:space="0" w:color="auto"/>
              <w:right w:val="nil"/>
            </w:tcBorders>
            <w:shd w:val="clear" w:color="000000" w:fill="FFFFFF"/>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Descrição/ Especificações técnicas</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436B26">
              <w:rPr>
                <w:rFonts w:ascii="Times New Roman" w:eastAsia="Times New Roman" w:hAnsi="Times New Roman" w:cs="Times New Roman"/>
                <w:b/>
                <w:bCs/>
                <w:color w:val="000000"/>
                <w:sz w:val="20"/>
                <w:szCs w:val="20"/>
                <w:lang w:eastAsia="pt-BR"/>
              </w:rPr>
              <w:t>Qtd</w:t>
            </w:r>
            <w:proofErr w:type="spellEnd"/>
            <w:r w:rsidRPr="00436B26">
              <w:rPr>
                <w:rFonts w:ascii="Times New Roman" w:eastAsia="Times New Roman" w:hAnsi="Times New Roman" w:cs="Times New Roman"/>
                <w:b/>
                <w:bCs/>
                <w:color w:val="000000"/>
                <w:sz w:val="20"/>
                <w:szCs w:val="20"/>
                <w:lang w:eastAsia="pt-BR"/>
              </w:rPr>
              <w:t>.</w:t>
            </w:r>
          </w:p>
        </w:tc>
        <w:tc>
          <w:tcPr>
            <w:tcW w:w="1269" w:type="dxa"/>
            <w:tcBorders>
              <w:top w:val="nil"/>
              <w:left w:val="nil"/>
              <w:bottom w:val="single" w:sz="8" w:space="0" w:color="auto"/>
              <w:right w:val="nil"/>
            </w:tcBorders>
            <w:shd w:val="clear" w:color="auto" w:fill="auto"/>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Valor Unitário</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436B26" w:rsidRPr="00436B26" w:rsidRDefault="00436B26" w:rsidP="00552A27">
            <w:pPr>
              <w:spacing w:after="0" w:line="240" w:lineRule="auto"/>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Valor Total</w:t>
            </w:r>
          </w:p>
        </w:tc>
        <w:tc>
          <w:tcPr>
            <w:tcW w:w="1559" w:type="dxa"/>
            <w:tcBorders>
              <w:top w:val="nil"/>
              <w:left w:val="nil"/>
              <w:bottom w:val="single" w:sz="8" w:space="0" w:color="auto"/>
              <w:right w:val="single" w:sz="8" w:space="0" w:color="auto"/>
            </w:tcBorders>
            <w:shd w:val="clear" w:color="auto" w:fill="auto"/>
            <w:vAlign w:val="center"/>
            <w:hideMark/>
          </w:tcPr>
          <w:p w:rsidR="00436B26" w:rsidRPr="00436B26" w:rsidRDefault="00436B26" w:rsidP="00436B26">
            <w:pPr>
              <w:spacing w:after="0" w:line="240" w:lineRule="auto"/>
              <w:ind w:right="-34"/>
              <w:jc w:val="center"/>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Margem de Preferência (%)</w:t>
            </w:r>
          </w:p>
        </w:tc>
      </w:tr>
      <w:tr w:rsidR="00436B26" w:rsidRPr="00436B26" w:rsidTr="00DE52D9">
        <w:trPr>
          <w:gridAfter w:val="3"/>
          <w:wAfter w:w="160" w:type="dxa"/>
          <w:trHeight w:val="2730"/>
        </w:trPr>
        <w:tc>
          <w:tcPr>
            <w:tcW w:w="666"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436B26" w:rsidRPr="00436B26" w:rsidRDefault="00436B26" w:rsidP="00552A27">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1</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436B26" w:rsidRPr="00436B26" w:rsidRDefault="00436B26" w:rsidP="00552A27">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0150831</w:t>
            </w:r>
          </w:p>
        </w:tc>
        <w:tc>
          <w:tcPr>
            <w:tcW w:w="7610" w:type="dxa"/>
            <w:tcBorders>
              <w:top w:val="single" w:sz="4" w:space="0" w:color="auto"/>
              <w:left w:val="nil"/>
              <w:bottom w:val="single" w:sz="4" w:space="0" w:color="auto"/>
              <w:right w:val="single" w:sz="4" w:space="0" w:color="auto"/>
            </w:tcBorders>
            <w:shd w:val="clear" w:color="000000" w:fill="FFFFFF"/>
            <w:vAlign w:val="center"/>
            <w:hideMark/>
          </w:tcPr>
          <w:p w:rsidR="00436B26" w:rsidRPr="00436B26" w:rsidRDefault="00436B26" w:rsidP="006A533F">
            <w:pPr>
              <w:spacing w:after="0" w:line="240" w:lineRule="auto"/>
              <w:jc w:val="both"/>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Tanques-rede para Engorda de Peixes</w:t>
            </w:r>
          </w:p>
          <w:p w:rsidR="00436B26" w:rsidRPr="00436B26" w:rsidRDefault="00436B26" w:rsidP="006A533F">
            <w:pPr>
              <w:spacing w:after="0" w:line="240" w:lineRule="auto"/>
              <w:jc w:val="both"/>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bCs/>
                <w:color w:val="000000"/>
                <w:sz w:val="20"/>
                <w:szCs w:val="20"/>
                <w:lang w:eastAsia="pt-BR"/>
              </w:rPr>
              <w:t>Forma: Quadrada; Dimensões: 3,0m largura x 3,0m comprimento x 2,00m altura (18,0 m</w:t>
            </w:r>
            <w:r w:rsidRPr="00436B26">
              <w:rPr>
                <w:rFonts w:ascii="Times New Roman" w:eastAsia="Times New Roman" w:hAnsi="Times New Roman" w:cs="Times New Roman"/>
                <w:bCs/>
                <w:color w:val="000000"/>
                <w:sz w:val="20"/>
                <w:szCs w:val="20"/>
                <w:vertAlign w:val="superscript"/>
                <w:lang w:eastAsia="pt-BR"/>
              </w:rPr>
              <w:t>3</w:t>
            </w:r>
            <w:r w:rsidRPr="00436B26">
              <w:rPr>
                <w:rFonts w:ascii="Times New Roman" w:eastAsia="Times New Roman" w:hAnsi="Times New Roman" w:cs="Times New Roman"/>
                <w:bCs/>
                <w:color w:val="000000"/>
                <w:sz w:val="20"/>
                <w:szCs w:val="20"/>
                <w:lang w:eastAsia="pt-BR"/>
              </w:rPr>
              <w:t>); Estrutura: Em tubos de ALUMÍNIO  NAVAL; Tela: Em metal, sanfonada, retrátil para recolhimento manual de sua estrutura, de 17-</w:t>
            </w:r>
            <w:smartTag w:uri="urn:schemas-microsoft-com:office:smarttags" w:element="metricconverter">
              <w:smartTagPr>
                <w:attr w:name="ProductID" w:val="19 MM"/>
              </w:smartTagPr>
              <w:r w:rsidRPr="00436B26">
                <w:rPr>
                  <w:rFonts w:ascii="Times New Roman" w:eastAsia="Times New Roman" w:hAnsi="Times New Roman" w:cs="Times New Roman"/>
                  <w:bCs/>
                  <w:color w:val="000000"/>
                  <w:sz w:val="20"/>
                  <w:szCs w:val="20"/>
                  <w:lang w:eastAsia="pt-BR"/>
                </w:rPr>
                <w:t>19 mm</w:t>
              </w:r>
            </w:smartTag>
            <w:r w:rsidRPr="00436B26">
              <w:rPr>
                <w:rFonts w:ascii="Times New Roman" w:eastAsia="Times New Roman" w:hAnsi="Times New Roman" w:cs="Times New Roman"/>
                <w:bCs/>
                <w:color w:val="000000"/>
                <w:sz w:val="20"/>
                <w:szCs w:val="20"/>
                <w:lang w:eastAsia="pt-BR"/>
              </w:rPr>
              <w:t xml:space="preserve"> de abertura de malha, fio 16 a 18 revestido em PVC de alta aderência e tratamento contra raios ultravioleta, com garantia de não ressecamento quando submetido à exposição intensa ao sol; Comedouros: Confeccionados em PVC com malha de até 2,0 mm e altura de 60 cm, percorrendo todo o PERÍMETRO INTERNO </w:t>
            </w:r>
            <w:r w:rsidR="00D70126">
              <w:rPr>
                <w:rFonts w:ascii="Times New Roman" w:eastAsia="Times New Roman" w:hAnsi="Times New Roman" w:cs="Times New Roman"/>
                <w:bCs/>
                <w:color w:val="000000"/>
                <w:sz w:val="20"/>
                <w:szCs w:val="20"/>
                <w:lang w:eastAsia="pt-BR"/>
              </w:rPr>
              <w:t>do</w:t>
            </w:r>
            <w:r w:rsidRPr="00436B26">
              <w:rPr>
                <w:rFonts w:ascii="Times New Roman" w:eastAsia="Times New Roman" w:hAnsi="Times New Roman" w:cs="Times New Roman"/>
                <w:bCs/>
                <w:color w:val="000000"/>
                <w:sz w:val="20"/>
                <w:szCs w:val="20"/>
                <w:lang w:eastAsia="pt-BR"/>
              </w:rPr>
              <w:t xml:space="preserve"> tanque-rede; Cobertura: Tampa com abertura móvel para abrir e fechar um espaço de 1,00m, em tela do mesmo fio da tela de engorda, abertura de malha 17 a 19 mm; Flutuadores: </w:t>
            </w:r>
            <w:proofErr w:type="spellStart"/>
            <w:r w:rsidRPr="00436B26">
              <w:rPr>
                <w:rFonts w:ascii="Times New Roman" w:eastAsia="Times New Roman" w:hAnsi="Times New Roman" w:cs="Times New Roman"/>
                <w:bCs/>
                <w:color w:val="000000"/>
                <w:sz w:val="20"/>
                <w:szCs w:val="20"/>
                <w:lang w:eastAsia="pt-BR"/>
              </w:rPr>
              <w:t>Bóias</w:t>
            </w:r>
            <w:proofErr w:type="spellEnd"/>
            <w:r w:rsidRPr="00436B26">
              <w:rPr>
                <w:rFonts w:ascii="Times New Roman" w:eastAsia="Times New Roman" w:hAnsi="Times New Roman" w:cs="Times New Roman"/>
                <w:bCs/>
                <w:color w:val="000000"/>
                <w:sz w:val="20"/>
                <w:szCs w:val="20"/>
                <w:lang w:eastAsia="pt-BR"/>
              </w:rPr>
              <w:t xml:space="preserve"> plásticas na cor amarela (atendendo as exigências  da Marinha do Brasil), com capacidade mínima de 30 litros, que ficarão presas nas quatro extremidades de cada tanque, com proteção contra raios ultravioleta.</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36B26" w:rsidRPr="00436B26" w:rsidRDefault="00DE52D9" w:rsidP="00552A27">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197</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436B26" w:rsidRPr="00436B26" w:rsidRDefault="00436B26" w:rsidP="00552A27">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18"/>
                <w:szCs w:val="18"/>
                <w:lang w:eastAsia="pt-BR"/>
              </w:rPr>
              <w:t xml:space="preserve"> R$</w:t>
            </w:r>
            <w:r w:rsidRPr="00436B26">
              <w:rPr>
                <w:rFonts w:ascii="Times New Roman" w:eastAsia="Times New Roman" w:hAnsi="Times New Roman" w:cs="Times New Roman"/>
                <w:color w:val="000000"/>
                <w:sz w:val="20"/>
                <w:szCs w:val="20"/>
                <w:lang w:eastAsia="pt-BR"/>
              </w:rPr>
              <w:t xml:space="preserve"> </w:t>
            </w:r>
            <w:r w:rsidR="00DE52D9">
              <w:rPr>
                <w:rFonts w:ascii="Times New Roman" w:eastAsia="Times New Roman" w:hAnsi="Times New Roman" w:cs="Times New Roman"/>
                <w:color w:val="000000"/>
                <w:sz w:val="20"/>
                <w:szCs w:val="20"/>
                <w:lang w:eastAsia="pt-BR"/>
              </w:rPr>
              <w:t>3.045,83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36B26" w:rsidRPr="00436B26" w:rsidRDefault="00436B26" w:rsidP="00552A27">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 xml:space="preserve"> </w:t>
            </w:r>
            <w:r w:rsidRPr="00436B26">
              <w:rPr>
                <w:rFonts w:ascii="Times New Roman" w:eastAsia="Times New Roman" w:hAnsi="Times New Roman" w:cs="Times New Roman"/>
                <w:color w:val="000000"/>
                <w:sz w:val="18"/>
                <w:szCs w:val="18"/>
                <w:lang w:eastAsia="pt-BR"/>
              </w:rPr>
              <w:t>R$</w:t>
            </w:r>
            <w:r w:rsidRPr="00436B26">
              <w:rPr>
                <w:rFonts w:ascii="Times New Roman" w:eastAsia="Times New Roman" w:hAnsi="Times New Roman" w:cs="Times New Roman"/>
                <w:color w:val="000000"/>
                <w:sz w:val="20"/>
                <w:szCs w:val="20"/>
                <w:lang w:eastAsia="pt-BR"/>
              </w:rPr>
              <w:t xml:space="preserve"> </w:t>
            </w:r>
            <w:r w:rsidR="00DE52D9">
              <w:rPr>
                <w:rFonts w:ascii="Times New Roman" w:eastAsia="Times New Roman" w:hAnsi="Times New Roman" w:cs="Times New Roman"/>
                <w:color w:val="000000"/>
                <w:sz w:val="20"/>
                <w:szCs w:val="20"/>
                <w:lang w:eastAsia="pt-BR"/>
              </w:rPr>
              <w:t>600.028,51</w:t>
            </w:r>
          </w:p>
        </w:tc>
        <w:tc>
          <w:tcPr>
            <w:tcW w:w="1559" w:type="dxa"/>
            <w:tcBorders>
              <w:top w:val="single" w:sz="4" w:space="0" w:color="auto"/>
              <w:left w:val="nil"/>
              <w:bottom w:val="single" w:sz="4" w:space="0" w:color="auto"/>
              <w:right w:val="single" w:sz="4" w:space="0" w:color="auto"/>
            </w:tcBorders>
            <w:shd w:val="clear" w:color="auto" w:fill="auto"/>
            <w:vAlign w:val="center"/>
          </w:tcPr>
          <w:p w:rsidR="00436B26" w:rsidRPr="00436B26" w:rsidRDefault="00436B26" w:rsidP="00436B26">
            <w:pPr>
              <w:spacing w:after="0" w:line="240" w:lineRule="auto"/>
              <w:ind w:right="-34"/>
              <w:jc w:val="center"/>
              <w:rPr>
                <w:rFonts w:ascii="Times New Roman" w:eastAsia="Times New Roman" w:hAnsi="Times New Roman" w:cs="Times New Roman"/>
                <w:color w:val="000000"/>
                <w:sz w:val="20"/>
                <w:szCs w:val="20"/>
                <w:lang w:eastAsia="pt-BR"/>
              </w:rPr>
            </w:pPr>
          </w:p>
        </w:tc>
      </w:tr>
      <w:tr w:rsidR="00436B26" w:rsidRPr="00436B26" w:rsidTr="00DE52D9">
        <w:trPr>
          <w:gridAfter w:val="3"/>
          <w:wAfter w:w="160" w:type="dxa"/>
          <w:trHeight w:val="2730"/>
        </w:trPr>
        <w:tc>
          <w:tcPr>
            <w:tcW w:w="666"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436B26" w:rsidRPr="00436B26" w:rsidRDefault="00436B26" w:rsidP="00436B26">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2</w:t>
            </w:r>
          </w:p>
        </w:tc>
        <w:tc>
          <w:tcPr>
            <w:tcW w:w="1086" w:type="dxa"/>
            <w:tcBorders>
              <w:top w:val="single" w:sz="4" w:space="0" w:color="auto"/>
              <w:left w:val="nil"/>
              <w:bottom w:val="single" w:sz="4" w:space="0" w:color="auto"/>
              <w:right w:val="single" w:sz="4" w:space="0" w:color="auto"/>
            </w:tcBorders>
            <w:shd w:val="clear" w:color="auto" w:fill="auto"/>
            <w:vAlign w:val="center"/>
          </w:tcPr>
          <w:p w:rsidR="00436B26" w:rsidRPr="00436B26" w:rsidRDefault="00436B26" w:rsidP="00436B26">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0150831</w:t>
            </w:r>
          </w:p>
        </w:tc>
        <w:tc>
          <w:tcPr>
            <w:tcW w:w="7610" w:type="dxa"/>
            <w:tcBorders>
              <w:top w:val="single" w:sz="4" w:space="0" w:color="auto"/>
              <w:left w:val="nil"/>
              <w:bottom w:val="single" w:sz="4" w:space="0" w:color="auto"/>
              <w:right w:val="single" w:sz="4" w:space="0" w:color="auto"/>
            </w:tcBorders>
            <w:shd w:val="clear" w:color="000000" w:fill="FFFFFF"/>
            <w:vAlign w:val="center"/>
          </w:tcPr>
          <w:p w:rsidR="00436B26" w:rsidRPr="00436B26" w:rsidRDefault="00436B26" w:rsidP="00436B26">
            <w:pPr>
              <w:spacing w:after="0" w:line="240" w:lineRule="auto"/>
              <w:jc w:val="both"/>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Tanques-rede para Engorda de Peixes</w:t>
            </w:r>
          </w:p>
          <w:p w:rsidR="00436B26" w:rsidRPr="00436B26" w:rsidRDefault="00436B26" w:rsidP="00436B26">
            <w:pPr>
              <w:spacing w:after="0" w:line="240" w:lineRule="auto"/>
              <w:jc w:val="both"/>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bCs/>
                <w:color w:val="000000"/>
                <w:sz w:val="20"/>
                <w:szCs w:val="20"/>
                <w:lang w:eastAsia="pt-BR"/>
              </w:rPr>
              <w:t>Forma: Quadrada; Dimensões: 3,0m largura x 3,0m comprimento x 2,00m altura (18,0 m</w:t>
            </w:r>
            <w:r w:rsidRPr="00436B26">
              <w:rPr>
                <w:rFonts w:ascii="Times New Roman" w:eastAsia="Times New Roman" w:hAnsi="Times New Roman" w:cs="Times New Roman"/>
                <w:bCs/>
                <w:color w:val="000000"/>
                <w:sz w:val="20"/>
                <w:szCs w:val="20"/>
                <w:vertAlign w:val="superscript"/>
                <w:lang w:eastAsia="pt-BR"/>
              </w:rPr>
              <w:t>3</w:t>
            </w:r>
            <w:r w:rsidRPr="00436B26">
              <w:rPr>
                <w:rFonts w:ascii="Times New Roman" w:eastAsia="Times New Roman" w:hAnsi="Times New Roman" w:cs="Times New Roman"/>
                <w:bCs/>
                <w:color w:val="000000"/>
                <w:sz w:val="20"/>
                <w:szCs w:val="20"/>
                <w:lang w:eastAsia="pt-BR"/>
              </w:rPr>
              <w:t>); Estrutura: Em tubos de ALUMÍNIO  NAVAL; Tela: Em metal, sanfonada, retrátil para recolhimento manual de sua estrutura, de 17-</w:t>
            </w:r>
            <w:smartTag w:uri="urn:schemas-microsoft-com:office:smarttags" w:element="metricconverter">
              <w:smartTagPr>
                <w:attr w:name="ProductID" w:val="19 MM"/>
              </w:smartTagPr>
              <w:r w:rsidRPr="00436B26">
                <w:rPr>
                  <w:rFonts w:ascii="Times New Roman" w:eastAsia="Times New Roman" w:hAnsi="Times New Roman" w:cs="Times New Roman"/>
                  <w:bCs/>
                  <w:color w:val="000000"/>
                  <w:sz w:val="20"/>
                  <w:szCs w:val="20"/>
                  <w:lang w:eastAsia="pt-BR"/>
                </w:rPr>
                <w:t>19 mm</w:t>
              </w:r>
            </w:smartTag>
            <w:r w:rsidRPr="00436B26">
              <w:rPr>
                <w:rFonts w:ascii="Times New Roman" w:eastAsia="Times New Roman" w:hAnsi="Times New Roman" w:cs="Times New Roman"/>
                <w:bCs/>
                <w:color w:val="000000"/>
                <w:sz w:val="20"/>
                <w:szCs w:val="20"/>
                <w:lang w:eastAsia="pt-BR"/>
              </w:rPr>
              <w:t xml:space="preserve"> de abertura de malha, fio 16 a 18 revestido em PVC de alta aderência e tratamento contra raios ultravioleta, com garantia de não ressecamento quando submetido à exposição intensa ao sol; Comedouros: Confeccionados em PVC com malha de até 2,0 mm e altura de 60 cm, percorrendo todo o PERÍMETRO INTERNO </w:t>
            </w:r>
            <w:r w:rsidR="00D70126">
              <w:rPr>
                <w:rFonts w:ascii="Times New Roman" w:eastAsia="Times New Roman" w:hAnsi="Times New Roman" w:cs="Times New Roman"/>
                <w:bCs/>
                <w:color w:val="000000"/>
                <w:sz w:val="20"/>
                <w:szCs w:val="20"/>
                <w:lang w:eastAsia="pt-BR"/>
              </w:rPr>
              <w:t>do</w:t>
            </w:r>
            <w:r w:rsidRPr="00436B26">
              <w:rPr>
                <w:rFonts w:ascii="Times New Roman" w:eastAsia="Times New Roman" w:hAnsi="Times New Roman" w:cs="Times New Roman"/>
                <w:bCs/>
                <w:color w:val="000000"/>
                <w:sz w:val="20"/>
                <w:szCs w:val="20"/>
                <w:lang w:eastAsia="pt-BR"/>
              </w:rPr>
              <w:t xml:space="preserve"> tanque-rede; Cobertura: Tampa com abertura móvel para abrir e fechar um espaço de 1,00m, em tela do mesmo fio da tela de engorda, abertura de malha 17 a 19 mm; Flutuadores: </w:t>
            </w:r>
            <w:proofErr w:type="spellStart"/>
            <w:r w:rsidRPr="00436B26">
              <w:rPr>
                <w:rFonts w:ascii="Times New Roman" w:eastAsia="Times New Roman" w:hAnsi="Times New Roman" w:cs="Times New Roman"/>
                <w:bCs/>
                <w:color w:val="000000"/>
                <w:sz w:val="20"/>
                <w:szCs w:val="20"/>
                <w:lang w:eastAsia="pt-BR"/>
              </w:rPr>
              <w:t>Bóias</w:t>
            </w:r>
            <w:proofErr w:type="spellEnd"/>
            <w:r w:rsidRPr="00436B26">
              <w:rPr>
                <w:rFonts w:ascii="Times New Roman" w:eastAsia="Times New Roman" w:hAnsi="Times New Roman" w:cs="Times New Roman"/>
                <w:bCs/>
                <w:color w:val="000000"/>
                <w:sz w:val="20"/>
                <w:szCs w:val="20"/>
                <w:lang w:eastAsia="pt-BR"/>
              </w:rPr>
              <w:t xml:space="preserve"> plásticas na cor amarela (atendendo as exigências  da Marinha do Brasil), com capacidade mínima de 30 litros, que ficarão presas nas quatro extremidades de cada tanque, com proteção contra raios ultravioleta.</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36B26" w:rsidRPr="00436B26" w:rsidRDefault="00DE52D9" w:rsidP="00436B26">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49</w:t>
            </w:r>
          </w:p>
        </w:tc>
        <w:tc>
          <w:tcPr>
            <w:tcW w:w="1269" w:type="dxa"/>
            <w:tcBorders>
              <w:top w:val="single" w:sz="4" w:space="0" w:color="auto"/>
              <w:left w:val="nil"/>
              <w:bottom w:val="single" w:sz="4" w:space="0" w:color="auto"/>
              <w:right w:val="single" w:sz="4" w:space="0" w:color="auto"/>
            </w:tcBorders>
            <w:shd w:val="clear" w:color="auto" w:fill="auto"/>
            <w:noWrap/>
            <w:vAlign w:val="center"/>
          </w:tcPr>
          <w:p w:rsidR="00436B26" w:rsidRPr="00436B26" w:rsidRDefault="00436B26" w:rsidP="00436B26">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18"/>
                <w:szCs w:val="18"/>
                <w:lang w:eastAsia="pt-BR"/>
              </w:rPr>
              <w:t xml:space="preserve"> R$</w:t>
            </w:r>
            <w:r w:rsidRPr="00436B26">
              <w:rPr>
                <w:rFonts w:ascii="Times New Roman" w:eastAsia="Times New Roman" w:hAnsi="Times New Roman" w:cs="Times New Roman"/>
                <w:color w:val="000000"/>
                <w:sz w:val="20"/>
                <w:szCs w:val="20"/>
                <w:lang w:eastAsia="pt-BR"/>
              </w:rPr>
              <w:t xml:space="preserve"> </w:t>
            </w:r>
            <w:r w:rsidR="00DE52D9">
              <w:rPr>
                <w:rFonts w:ascii="Times New Roman" w:eastAsia="Times New Roman" w:hAnsi="Times New Roman" w:cs="Times New Roman"/>
                <w:color w:val="000000"/>
                <w:sz w:val="20"/>
                <w:szCs w:val="20"/>
                <w:lang w:eastAsia="pt-BR"/>
              </w:rPr>
              <w:t>3.045,83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36B26" w:rsidRPr="00436B26" w:rsidRDefault="00436B26" w:rsidP="00436B26">
            <w:pPr>
              <w:spacing w:after="0" w:line="240" w:lineRule="auto"/>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 xml:space="preserve"> </w:t>
            </w:r>
            <w:r w:rsidRPr="00436B26">
              <w:rPr>
                <w:rFonts w:ascii="Times New Roman" w:eastAsia="Times New Roman" w:hAnsi="Times New Roman" w:cs="Times New Roman"/>
                <w:color w:val="000000"/>
                <w:sz w:val="18"/>
                <w:szCs w:val="18"/>
                <w:lang w:eastAsia="pt-BR"/>
              </w:rPr>
              <w:t>R$</w:t>
            </w:r>
            <w:r w:rsidRPr="00436B26">
              <w:rPr>
                <w:rFonts w:ascii="Times New Roman" w:eastAsia="Times New Roman" w:hAnsi="Times New Roman" w:cs="Times New Roman"/>
                <w:color w:val="000000"/>
                <w:sz w:val="20"/>
                <w:szCs w:val="20"/>
                <w:lang w:eastAsia="pt-BR"/>
              </w:rPr>
              <w:t xml:space="preserve"> </w:t>
            </w:r>
            <w:r w:rsidR="00DE52D9">
              <w:rPr>
                <w:rFonts w:ascii="Times New Roman" w:eastAsia="Times New Roman" w:hAnsi="Times New Roman" w:cs="Times New Roman"/>
                <w:color w:val="000000"/>
                <w:sz w:val="20"/>
                <w:szCs w:val="20"/>
                <w:lang w:eastAsia="pt-BR"/>
              </w:rPr>
              <w:t>149.245,67</w:t>
            </w:r>
          </w:p>
        </w:tc>
        <w:tc>
          <w:tcPr>
            <w:tcW w:w="1559" w:type="dxa"/>
            <w:tcBorders>
              <w:top w:val="single" w:sz="4" w:space="0" w:color="auto"/>
              <w:left w:val="nil"/>
              <w:bottom w:val="single" w:sz="4" w:space="0" w:color="auto"/>
              <w:right w:val="single" w:sz="4" w:space="0" w:color="auto"/>
            </w:tcBorders>
            <w:shd w:val="clear" w:color="auto" w:fill="auto"/>
            <w:vAlign w:val="center"/>
          </w:tcPr>
          <w:p w:rsidR="00436B26" w:rsidRPr="00436B26" w:rsidRDefault="00DE52D9" w:rsidP="00436B26">
            <w:pPr>
              <w:spacing w:after="0" w:line="240" w:lineRule="auto"/>
              <w:ind w:right="-34"/>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19,91</w:t>
            </w:r>
          </w:p>
        </w:tc>
      </w:tr>
      <w:tr w:rsidR="00436B26" w:rsidRPr="00436B26" w:rsidTr="00DE52D9">
        <w:trPr>
          <w:gridAfter w:val="3"/>
          <w:wAfter w:w="160" w:type="dxa"/>
          <w:trHeight w:val="315"/>
        </w:trPr>
        <w:tc>
          <w:tcPr>
            <w:tcW w:w="11340" w:type="dxa"/>
            <w:gridSpan w:val="5"/>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36B26" w:rsidRPr="00436B26" w:rsidRDefault="00436B26" w:rsidP="00552A27">
            <w:pPr>
              <w:spacing w:after="0" w:line="240" w:lineRule="auto"/>
              <w:jc w:val="right"/>
              <w:rPr>
                <w:rFonts w:ascii="Times New Roman" w:eastAsia="Times New Roman" w:hAnsi="Times New Roman" w:cs="Times New Roman"/>
                <w:b/>
                <w:bCs/>
                <w:color w:val="000000"/>
                <w:sz w:val="20"/>
                <w:szCs w:val="20"/>
                <w:lang w:eastAsia="pt-BR"/>
              </w:rPr>
            </w:pPr>
            <w:r w:rsidRPr="00436B26">
              <w:rPr>
                <w:rFonts w:ascii="Times New Roman" w:eastAsia="Times New Roman" w:hAnsi="Times New Roman" w:cs="Times New Roman"/>
                <w:b/>
                <w:bCs/>
                <w:color w:val="000000"/>
                <w:sz w:val="20"/>
                <w:szCs w:val="20"/>
                <w:lang w:eastAsia="pt-BR"/>
              </w:rPr>
              <w:t>VALOR TOTAL</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tcPr>
          <w:p w:rsidR="00436B26" w:rsidRPr="00436B26" w:rsidRDefault="00DE52D9" w:rsidP="00552A27">
            <w:pPr>
              <w:spacing w:after="0" w:line="240" w:lineRule="auto"/>
              <w:jc w:val="right"/>
              <w:rPr>
                <w:rFonts w:ascii="Times New Roman" w:eastAsia="Times New Roman" w:hAnsi="Times New Roman" w:cs="Times New Roman"/>
                <w:b/>
                <w:bCs/>
                <w:color w:val="000000"/>
                <w:sz w:val="18"/>
                <w:szCs w:val="18"/>
                <w:lang w:eastAsia="pt-BR"/>
              </w:rPr>
            </w:pPr>
            <w:r w:rsidRPr="00DE52D9">
              <w:rPr>
                <w:rFonts w:ascii="Times New Roman" w:eastAsia="Times New Roman" w:hAnsi="Times New Roman" w:cs="Times New Roman"/>
                <w:b/>
                <w:bCs/>
                <w:color w:val="000000"/>
                <w:sz w:val="18"/>
                <w:szCs w:val="18"/>
                <w:lang w:eastAsia="pt-BR"/>
              </w:rPr>
              <w:t xml:space="preserve">R$ </w:t>
            </w:r>
            <w:r>
              <w:rPr>
                <w:rFonts w:ascii="Times New Roman" w:eastAsia="Times New Roman" w:hAnsi="Times New Roman" w:cs="Times New Roman"/>
                <w:b/>
                <w:bCs/>
                <w:color w:val="000000"/>
                <w:sz w:val="18"/>
                <w:szCs w:val="18"/>
                <w:lang w:eastAsia="pt-BR"/>
              </w:rPr>
              <w:t>749.27</w:t>
            </w:r>
            <w:bookmarkStart w:id="0" w:name="_GoBack"/>
            <w:bookmarkEnd w:id="0"/>
            <w:r>
              <w:rPr>
                <w:rFonts w:ascii="Times New Roman" w:eastAsia="Times New Roman" w:hAnsi="Times New Roman" w:cs="Times New Roman"/>
                <w:b/>
                <w:bCs/>
                <w:color w:val="000000"/>
                <w:sz w:val="18"/>
                <w:szCs w:val="18"/>
                <w:lang w:eastAsia="pt-BR"/>
              </w:rPr>
              <w:t>4,18</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436B26" w:rsidRPr="00436B26" w:rsidRDefault="00436B26" w:rsidP="00436B26">
            <w:pPr>
              <w:spacing w:after="0" w:line="240" w:lineRule="auto"/>
              <w:ind w:right="-34"/>
              <w:jc w:val="center"/>
              <w:rPr>
                <w:rFonts w:ascii="Times New Roman" w:eastAsia="Times New Roman" w:hAnsi="Times New Roman" w:cs="Times New Roman"/>
                <w:color w:val="000000"/>
                <w:sz w:val="20"/>
                <w:szCs w:val="20"/>
                <w:lang w:eastAsia="pt-BR"/>
              </w:rPr>
            </w:pPr>
            <w:r w:rsidRPr="00436B26">
              <w:rPr>
                <w:rFonts w:ascii="Times New Roman" w:eastAsia="Times New Roman" w:hAnsi="Times New Roman" w:cs="Times New Roman"/>
                <w:color w:val="000000"/>
                <w:sz w:val="20"/>
                <w:szCs w:val="20"/>
                <w:lang w:eastAsia="pt-BR"/>
              </w:rPr>
              <w:t> </w:t>
            </w:r>
          </w:p>
        </w:tc>
      </w:tr>
      <w:tr w:rsidR="00552A27" w:rsidRPr="00436B26" w:rsidTr="00DE52D9">
        <w:trPr>
          <w:trHeight w:val="315"/>
        </w:trPr>
        <w:tc>
          <w:tcPr>
            <w:tcW w:w="666" w:type="dxa"/>
            <w:tcBorders>
              <w:top w:val="single" w:sz="4" w:space="0" w:color="auto"/>
              <w:left w:val="nil"/>
              <w:bottom w:val="single" w:sz="8" w:space="0" w:color="auto"/>
              <w:right w:val="nil"/>
            </w:tcBorders>
            <w:shd w:val="clear" w:color="auto" w:fill="auto"/>
            <w:noWrap/>
            <w:vAlign w:val="bottom"/>
            <w:hideMark/>
          </w:tcPr>
          <w:p w:rsidR="00552A27" w:rsidRPr="00436B26" w:rsidRDefault="00552A27" w:rsidP="00552A27">
            <w:pPr>
              <w:spacing w:after="0" w:line="240" w:lineRule="auto"/>
              <w:jc w:val="center"/>
              <w:rPr>
                <w:rFonts w:ascii="Times New Roman" w:eastAsia="Times New Roman" w:hAnsi="Times New Roman" w:cs="Times New Roman"/>
                <w:color w:val="000000"/>
                <w:sz w:val="20"/>
                <w:szCs w:val="20"/>
                <w:lang w:eastAsia="pt-BR"/>
              </w:rPr>
            </w:pPr>
          </w:p>
        </w:tc>
        <w:tc>
          <w:tcPr>
            <w:tcW w:w="1086" w:type="dxa"/>
            <w:tcBorders>
              <w:top w:val="single" w:sz="4" w:space="0" w:color="auto"/>
              <w:left w:val="nil"/>
              <w:bottom w:val="single" w:sz="8" w:space="0" w:color="auto"/>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610" w:type="dxa"/>
            <w:tcBorders>
              <w:top w:val="single" w:sz="4" w:space="0" w:color="auto"/>
              <w:left w:val="nil"/>
              <w:bottom w:val="single" w:sz="8" w:space="0" w:color="auto"/>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709" w:type="dxa"/>
            <w:tcBorders>
              <w:top w:val="single" w:sz="4" w:space="0" w:color="auto"/>
              <w:left w:val="nil"/>
              <w:bottom w:val="single" w:sz="8" w:space="0" w:color="auto"/>
              <w:right w:val="nil"/>
            </w:tcBorders>
            <w:shd w:val="clear" w:color="auto" w:fill="auto"/>
            <w:noWrap/>
            <w:vAlign w:val="center"/>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c>
          <w:tcPr>
            <w:tcW w:w="1269" w:type="dxa"/>
            <w:tcBorders>
              <w:top w:val="single" w:sz="4" w:space="0" w:color="auto"/>
              <w:left w:val="nil"/>
              <w:bottom w:val="single" w:sz="8" w:space="0" w:color="auto"/>
              <w:right w:val="nil"/>
            </w:tcBorders>
            <w:shd w:val="clear" w:color="auto" w:fill="auto"/>
            <w:noWrap/>
            <w:vAlign w:val="center"/>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1418" w:type="dxa"/>
            <w:tcBorders>
              <w:top w:val="nil"/>
              <w:left w:val="nil"/>
              <w:bottom w:val="single" w:sz="8" w:space="0" w:color="auto"/>
              <w:right w:val="nil"/>
            </w:tcBorders>
            <w:shd w:val="clear" w:color="auto" w:fill="auto"/>
            <w:noWrap/>
            <w:vAlign w:val="center"/>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1559" w:type="dxa"/>
            <w:tcBorders>
              <w:top w:val="nil"/>
              <w:left w:val="nil"/>
              <w:bottom w:val="single" w:sz="8" w:space="0" w:color="auto"/>
              <w:right w:val="nil"/>
            </w:tcBorders>
            <w:shd w:val="clear" w:color="auto" w:fill="auto"/>
            <w:noWrap/>
            <w:vAlign w:val="bottom"/>
            <w:hideMark/>
          </w:tcPr>
          <w:p w:rsidR="00552A27" w:rsidRPr="00436B26" w:rsidRDefault="00552A27" w:rsidP="00552A27">
            <w:pPr>
              <w:spacing w:after="0" w:line="240" w:lineRule="auto"/>
              <w:jc w:val="right"/>
              <w:rPr>
                <w:rFonts w:ascii="Times New Roman" w:eastAsia="Times New Roman" w:hAnsi="Times New Roman" w:cs="Times New Roman"/>
                <w:sz w:val="20"/>
                <w:szCs w:val="20"/>
                <w:lang w:eastAsia="pt-BR"/>
              </w:rPr>
            </w:pPr>
          </w:p>
        </w:tc>
        <w:tc>
          <w:tcPr>
            <w:tcW w:w="160" w:type="dxa"/>
            <w:gridSpan w:val="3"/>
            <w:tcBorders>
              <w:top w:val="nil"/>
              <w:left w:val="nil"/>
              <w:bottom w:val="single" w:sz="8" w:space="0" w:color="auto"/>
              <w:right w:val="nil"/>
            </w:tcBorders>
            <w:shd w:val="clear" w:color="auto" w:fill="auto"/>
            <w:noWrap/>
            <w:vAlign w:val="bottom"/>
            <w:hideMark/>
          </w:tcPr>
          <w:p w:rsidR="00552A27" w:rsidRPr="00436B26" w:rsidRDefault="00552A27" w:rsidP="00552A27">
            <w:pPr>
              <w:spacing w:after="0" w:line="240" w:lineRule="auto"/>
              <w:rPr>
                <w:rFonts w:ascii="Times New Roman" w:eastAsia="Times New Roman" w:hAnsi="Times New Roman" w:cs="Times New Roman"/>
                <w:sz w:val="20"/>
                <w:szCs w:val="20"/>
                <w:lang w:eastAsia="pt-BR"/>
              </w:rPr>
            </w:pPr>
          </w:p>
        </w:tc>
      </w:tr>
      <w:tr w:rsidR="00552A27" w:rsidRPr="00436B26" w:rsidTr="00DE52D9">
        <w:trPr>
          <w:gridAfter w:val="1"/>
          <w:wAfter w:w="145" w:type="dxa"/>
          <w:trHeight w:val="300"/>
        </w:trPr>
        <w:tc>
          <w:tcPr>
            <w:tcW w:w="14332" w:type="dxa"/>
            <w:gridSpan w:val="9"/>
            <w:vMerge w:val="restart"/>
            <w:tcBorders>
              <w:top w:val="single" w:sz="8" w:space="0" w:color="auto"/>
              <w:left w:val="single" w:sz="8" w:space="0" w:color="auto"/>
              <w:bottom w:val="single" w:sz="4" w:space="0" w:color="auto"/>
              <w:right w:val="single" w:sz="8" w:space="0" w:color="000000"/>
            </w:tcBorders>
            <w:shd w:val="clear" w:color="auto" w:fill="auto"/>
            <w:hideMark/>
          </w:tcPr>
          <w:p w:rsidR="00552A27" w:rsidRPr="00436B26" w:rsidRDefault="00552A27" w:rsidP="00552A27">
            <w:pPr>
              <w:spacing w:after="0" w:line="240" w:lineRule="auto"/>
              <w:jc w:val="both"/>
              <w:rPr>
                <w:rFonts w:ascii="Times New Roman" w:eastAsia="Times New Roman" w:hAnsi="Times New Roman" w:cs="Times New Roman"/>
                <w:b/>
                <w:bCs/>
                <w:color w:val="000000"/>
                <w:lang w:eastAsia="pt-BR"/>
              </w:rPr>
            </w:pPr>
            <w:r w:rsidRPr="00436B26">
              <w:rPr>
                <w:rFonts w:ascii="Times New Roman" w:eastAsia="Times New Roman" w:hAnsi="Times New Roman" w:cs="Times New Roman"/>
                <w:b/>
                <w:bCs/>
                <w:color w:val="000000"/>
                <w:lang w:eastAsia="pt-BR"/>
              </w:rPr>
              <w:t>O ite</w:t>
            </w:r>
            <w:r w:rsidR="00436B26" w:rsidRPr="00436B26">
              <w:rPr>
                <w:rFonts w:ascii="Times New Roman" w:eastAsia="Times New Roman" w:hAnsi="Times New Roman" w:cs="Times New Roman"/>
                <w:b/>
                <w:bCs/>
                <w:color w:val="000000"/>
                <w:lang w:eastAsia="pt-BR"/>
              </w:rPr>
              <w:t>m</w:t>
            </w:r>
            <w:r w:rsidRPr="00436B26">
              <w:rPr>
                <w:rFonts w:ascii="Times New Roman" w:eastAsia="Times New Roman" w:hAnsi="Times New Roman" w:cs="Times New Roman"/>
                <w:b/>
                <w:bCs/>
                <w:color w:val="000000"/>
                <w:lang w:eastAsia="pt-BR"/>
              </w:rPr>
              <w:t xml:space="preserve"> 02 ser</w:t>
            </w:r>
            <w:r w:rsidR="00436B26" w:rsidRPr="00436B26">
              <w:rPr>
                <w:rFonts w:ascii="Times New Roman" w:eastAsia="Times New Roman" w:hAnsi="Times New Roman" w:cs="Times New Roman"/>
                <w:b/>
                <w:bCs/>
                <w:color w:val="000000"/>
                <w:lang w:eastAsia="pt-BR"/>
              </w:rPr>
              <w:t>á</w:t>
            </w:r>
            <w:r w:rsidRPr="00436B26">
              <w:rPr>
                <w:rFonts w:ascii="Times New Roman" w:eastAsia="Times New Roman" w:hAnsi="Times New Roman" w:cs="Times New Roman"/>
                <w:b/>
                <w:bCs/>
                <w:color w:val="000000"/>
                <w:lang w:eastAsia="pt-BR"/>
              </w:rPr>
              <w:t xml:space="preserve"> destinado exclusivamente a Microempresas e Empresas de Pequeno Porte, conforme </w:t>
            </w:r>
            <w:r w:rsidR="00436B26" w:rsidRPr="00436B26">
              <w:rPr>
                <w:rFonts w:ascii="Times New Roman" w:eastAsia="Times New Roman" w:hAnsi="Times New Roman" w:cs="Times New Roman"/>
                <w:b/>
                <w:bCs/>
                <w:color w:val="000000"/>
                <w:lang w:eastAsia="pt-BR"/>
              </w:rPr>
              <w:t>determina</w:t>
            </w:r>
            <w:r w:rsidRPr="00436B26">
              <w:rPr>
                <w:rFonts w:ascii="Times New Roman" w:eastAsia="Times New Roman" w:hAnsi="Times New Roman" w:cs="Times New Roman"/>
                <w:b/>
                <w:bCs/>
                <w:color w:val="000000"/>
                <w:lang w:eastAsia="pt-BR"/>
              </w:rPr>
              <w:t xml:space="preserve"> o Art. 8º do Decreto nº 8.538 de 06 de outubro de 2015, onde foi destinada uma cota de até 2</w:t>
            </w:r>
            <w:r w:rsidR="00D70126">
              <w:rPr>
                <w:rFonts w:ascii="Times New Roman" w:eastAsia="Times New Roman" w:hAnsi="Times New Roman" w:cs="Times New Roman"/>
                <w:b/>
                <w:bCs/>
                <w:color w:val="000000"/>
                <w:lang w:eastAsia="pt-BR"/>
              </w:rPr>
              <w:t>5</w:t>
            </w:r>
            <w:r w:rsidRPr="00436B26">
              <w:rPr>
                <w:rFonts w:ascii="Times New Roman" w:eastAsia="Times New Roman" w:hAnsi="Times New Roman" w:cs="Times New Roman"/>
                <w:b/>
                <w:bCs/>
                <w:color w:val="000000"/>
                <w:lang w:eastAsia="pt-BR"/>
              </w:rPr>
              <w:t>% para ME e EPP.</w:t>
            </w:r>
          </w:p>
        </w:tc>
      </w:tr>
      <w:tr w:rsidR="00552A27" w:rsidRPr="00436B26" w:rsidTr="00DE52D9">
        <w:trPr>
          <w:gridAfter w:val="1"/>
          <w:wAfter w:w="145" w:type="dxa"/>
          <w:trHeight w:val="450"/>
        </w:trPr>
        <w:tc>
          <w:tcPr>
            <w:tcW w:w="14332" w:type="dxa"/>
            <w:gridSpan w:val="9"/>
            <w:vMerge/>
            <w:tcBorders>
              <w:left w:val="single" w:sz="8" w:space="0" w:color="auto"/>
              <w:bottom w:val="single" w:sz="4" w:space="0" w:color="auto"/>
              <w:right w:val="single" w:sz="8" w:space="0" w:color="000000"/>
            </w:tcBorders>
            <w:vAlign w:val="center"/>
            <w:hideMark/>
          </w:tcPr>
          <w:p w:rsidR="00552A27" w:rsidRPr="00436B26" w:rsidRDefault="00552A27" w:rsidP="00552A27">
            <w:pPr>
              <w:spacing w:after="0" w:line="240" w:lineRule="auto"/>
              <w:rPr>
                <w:rFonts w:ascii="Times New Roman" w:eastAsia="Times New Roman" w:hAnsi="Times New Roman" w:cs="Times New Roman"/>
                <w:b/>
                <w:bCs/>
                <w:color w:val="000000"/>
                <w:lang w:eastAsia="pt-BR"/>
              </w:rPr>
            </w:pPr>
          </w:p>
        </w:tc>
      </w:tr>
      <w:tr w:rsidR="00552A27" w:rsidRPr="00436B26" w:rsidTr="00DE52D9">
        <w:trPr>
          <w:gridAfter w:val="1"/>
          <w:wAfter w:w="145" w:type="dxa"/>
          <w:trHeight w:val="450"/>
        </w:trPr>
        <w:tc>
          <w:tcPr>
            <w:tcW w:w="14332" w:type="dxa"/>
            <w:gridSpan w:val="9"/>
            <w:vMerge/>
            <w:tcBorders>
              <w:left w:val="single" w:sz="8" w:space="0" w:color="auto"/>
              <w:bottom w:val="single" w:sz="4" w:space="0" w:color="auto"/>
              <w:right w:val="single" w:sz="8" w:space="0" w:color="000000"/>
            </w:tcBorders>
            <w:vAlign w:val="center"/>
            <w:hideMark/>
          </w:tcPr>
          <w:p w:rsidR="00552A27" w:rsidRPr="00436B26" w:rsidRDefault="00552A27" w:rsidP="00552A27">
            <w:pPr>
              <w:spacing w:after="0" w:line="240" w:lineRule="auto"/>
              <w:rPr>
                <w:rFonts w:ascii="Times New Roman" w:eastAsia="Times New Roman" w:hAnsi="Times New Roman" w:cs="Times New Roman"/>
                <w:b/>
                <w:bCs/>
                <w:color w:val="000000"/>
                <w:lang w:eastAsia="pt-BR"/>
              </w:rPr>
            </w:pPr>
          </w:p>
        </w:tc>
      </w:tr>
    </w:tbl>
    <w:p w:rsidR="00625203" w:rsidRPr="00436B26" w:rsidRDefault="00965C8F">
      <w:pPr>
        <w:rPr>
          <w:rFonts w:ascii="Times New Roman" w:hAnsi="Times New Roman" w:cs="Times New Roman"/>
        </w:rPr>
      </w:pPr>
      <w:r w:rsidRPr="00436B26">
        <w:rPr>
          <w:rFonts w:ascii="Times New Roman" w:eastAsia="Times New Roman" w:hAnsi="Times New Roman" w:cs="Times New Roman"/>
          <w:noProof/>
          <w:color w:val="000000"/>
          <w:lang w:eastAsia="pt-BR"/>
        </w:rPr>
        <mc:AlternateContent>
          <mc:Choice Requires="wps">
            <w:drawing>
              <wp:anchor distT="0" distB="0" distL="114300" distR="114300" simplePos="0" relativeHeight="251666944" behindDoc="0" locked="0" layoutInCell="1" allowOverlap="1" wp14:anchorId="4FAFBDF6" wp14:editId="24176F0B">
                <wp:simplePos x="0" y="0"/>
                <wp:positionH relativeFrom="column">
                  <wp:posOffset>1971827</wp:posOffset>
                </wp:positionH>
                <wp:positionV relativeFrom="paragraph">
                  <wp:posOffset>-6796481</wp:posOffset>
                </wp:positionV>
                <wp:extent cx="4838700" cy="571500"/>
                <wp:effectExtent l="0" t="0" r="0" b="0"/>
                <wp:wrapNone/>
                <wp:docPr id="1" name="Caixa de Texto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571500"/>
                        </a:xfrm>
                        <a:prstGeom prst="rect">
                          <a:avLst/>
                        </a:prstGeom>
                        <a:noFill/>
                        <a:ln w="9525">
                          <a:noFill/>
                          <a:round/>
                          <a:headEnd/>
                          <a:tailEnd/>
                        </a:ln>
                        <a:effectLst/>
                      </wps:spPr>
                      <wps:txbx>
                        <w:txbxContent>
                          <w:p w:rsidR="00965C8F" w:rsidRDefault="00965C8F" w:rsidP="00552A27">
                            <w:pPr>
                              <w:pStyle w:val="NormalWeb"/>
                              <w:spacing w:before="0" w:beforeAutospacing="0" w:after="0" w:afterAutospacing="0"/>
                            </w:pPr>
                            <w:proofErr w:type="gramStart"/>
                            <w:r>
                              <w:rPr>
                                <w:rFonts w:ascii="Arial" w:hAnsi="Arial" w:cs="Arial"/>
                                <w:color w:val="000000"/>
                                <w:sz w:val="20"/>
                                <w:szCs w:val="20"/>
                              </w:rPr>
                              <w:t>Ministério  da</w:t>
                            </w:r>
                            <w:proofErr w:type="gramEnd"/>
                            <w:r>
                              <w:rPr>
                                <w:rFonts w:ascii="Arial" w:hAnsi="Arial" w:cs="Arial"/>
                                <w:color w:val="000000"/>
                                <w:sz w:val="20"/>
                                <w:szCs w:val="20"/>
                              </w:rPr>
                              <w:t xml:space="preserve">  Integração  Nacional – MI</w:t>
                            </w:r>
                          </w:p>
                          <w:p w:rsidR="00965C8F" w:rsidRDefault="00965C8F" w:rsidP="00552A27">
                            <w:pPr>
                              <w:pStyle w:val="NormalWeb"/>
                              <w:spacing w:before="0" w:beforeAutospacing="0" w:after="0" w:afterAutospacing="0"/>
                            </w:pPr>
                            <w:proofErr w:type="gramStart"/>
                            <w:r>
                              <w:rPr>
                                <w:rFonts w:ascii="Arial" w:hAnsi="Arial" w:cs="Arial"/>
                                <w:color w:val="000000"/>
                                <w:sz w:val="20"/>
                                <w:szCs w:val="20"/>
                              </w:rPr>
                              <w:t>Companhia  de</w:t>
                            </w:r>
                            <w:proofErr w:type="gramEnd"/>
                            <w:r>
                              <w:rPr>
                                <w:rFonts w:ascii="Arial" w:hAnsi="Arial" w:cs="Arial"/>
                                <w:color w:val="000000"/>
                                <w:sz w:val="20"/>
                                <w:szCs w:val="20"/>
                              </w:rPr>
                              <w:t xml:space="preserve">  Desenvolvimento  dos  Vales  do  São  Francisco e do Parnaíba</w:t>
                            </w:r>
                          </w:p>
                          <w:p w:rsidR="00965C8F" w:rsidRDefault="00965C8F" w:rsidP="00552A27">
                            <w:pPr>
                              <w:pStyle w:val="NormalWeb"/>
                              <w:spacing w:before="0" w:beforeAutospacing="0" w:after="0" w:afterAutospacing="0"/>
                            </w:pPr>
                            <w:r>
                              <w:rPr>
                                <w:rFonts w:ascii="Arial" w:hAnsi="Arial" w:cs="Arial"/>
                                <w:color w:val="000000"/>
                                <w:sz w:val="20"/>
                                <w:szCs w:val="20"/>
                              </w:rPr>
                              <w:t>Gerencia Regional de Revitalização / 6ª SR</w:t>
                            </w:r>
                          </w:p>
                        </w:txbxContent>
                      </wps:txbx>
                      <wps:bodyPr vertOverflow="clip" wrap="square" lIns="90000" tIns="46800" rIns="90000" bIns="46800" anchor="t" upright="1">
                        <a:noAutofit/>
                      </wps:bodyPr>
                    </wps:wsp>
                  </a:graphicData>
                </a:graphic>
                <wp14:sizeRelH relativeFrom="page">
                  <wp14:pctWidth>0</wp14:pctWidth>
                </wp14:sizeRelH>
                <wp14:sizeRelV relativeFrom="page">
                  <wp14:pctHeight>0</wp14:pctHeight>
                </wp14:sizeRelV>
              </wp:anchor>
            </w:drawing>
          </mc:Choice>
          <mc:Fallback>
            <w:pict>
              <v:shapetype w14:anchorId="4FAFBDF6" id="_x0000_t202" coordsize="21600,21600" o:spt="202" path="m,l,21600r21600,l21600,xe">
                <v:stroke joinstyle="miter"/>
                <v:path gradientshapeok="t" o:connecttype="rect"/>
              </v:shapetype>
              <v:shape id="Caixa de Texto 1" o:spid="_x0000_s1026" type="#_x0000_t202" style="position:absolute;margin-left:155.25pt;margin-top:-535.15pt;width:381pt;height: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" filled="f" stroked="f">
                <v:stroke joinstyle="round"/>
                <v:textbox inset="2.5mm,1.3mm,2.5mm,1.3mm">
                  <w:txbxContent>
                    <w:p w:rsidR="00965C8F" w:rsidRDefault="00965C8F" w:rsidP="00552A27">
                      <w:pPr>
                        <w:pStyle w:val="NormalWeb"/>
                        <w:spacing w:before="0" w:beforeAutospacing="0" w:after="0" w:afterAutospacing="0"/>
                      </w:pPr>
                      <w:proofErr w:type="gramStart"/>
                      <w:r>
                        <w:rPr>
                          <w:rFonts w:ascii="Arial" w:hAnsi="Arial" w:cs="Arial"/>
                          <w:color w:val="000000"/>
                          <w:sz w:val="20"/>
                          <w:szCs w:val="20"/>
                        </w:rPr>
                        <w:t>Ministério  da</w:t>
                      </w:r>
                      <w:proofErr w:type="gramEnd"/>
                      <w:r>
                        <w:rPr>
                          <w:rFonts w:ascii="Arial" w:hAnsi="Arial" w:cs="Arial"/>
                          <w:color w:val="000000"/>
                          <w:sz w:val="20"/>
                          <w:szCs w:val="20"/>
                        </w:rPr>
                        <w:t xml:space="preserve">  Integração  Nacional – MI</w:t>
                      </w:r>
                    </w:p>
                    <w:p w:rsidR="00965C8F" w:rsidRDefault="00965C8F" w:rsidP="00552A27">
                      <w:pPr>
                        <w:pStyle w:val="NormalWeb"/>
                        <w:spacing w:before="0" w:beforeAutospacing="0" w:after="0" w:afterAutospacing="0"/>
                      </w:pPr>
                      <w:proofErr w:type="gramStart"/>
                      <w:r>
                        <w:rPr>
                          <w:rFonts w:ascii="Arial" w:hAnsi="Arial" w:cs="Arial"/>
                          <w:color w:val="000000"/>
                          <w:sz w:val="20"/>
                          <w:szCs w:val="20"/>
                        </w:rPr>
                        <w:t>Companhia  de</w:t>
                      </w:r>
                      <w:proofErr w:type="gramEnd"/>
                      <w:r>
                        <w:rPr>
                          <w:rFonts w:ascii="Arial" w:hAnsi="Arial" w:cs="Arial"/>
                          <w:color w:val="000000"/>
                          <w:sz w:val="20"/>
                          <w:szCs w:val="20"/>
                        </w:rPr>
                        <w:t xml:space="preserve">  Desenvolvimento  dos  Vales  do  São  Francisco e do Parnaíba</w:t>
                      </w:r>
                    </w:p>
                    <w:p w:rsidR="00965C8F" w:rsidRDefault="00965C8F" w:rsidP="00552A27">
                      <w:pPr>
                        <w:pStyle w:val="NormalWeb"/>
                        <w:spacing w:before="0" w:beforeAutospacing="0" w:after="0" w:afterAutospacing="0"/>
                      </w:pPr>
                      <w:r>
                        <w:rPr>
                          <w:rFonts w:ascii="Arial" w:hAnsi="Arial" w:cs="Arial"/>
                          <w:color w:val="000000"/>
                          <w:sz w:val="20"/>
                          <w:szCs w:val="20"/>
                        </w:rPr>
                        <w:t>Gerencia Regional de Revitalização / 6ª SR</w:t>
                      </w:r>
                    </w:p>
                  </w:txbxContent>
                </v:textbox>
              </v:shape>
            </w:pict>
          </mc:Fallback>
        </mc:AlternateContent>
      </w:r>
      <w:r w:rsidRPr="00436B26">
        <w:rPr>
          <w:rFonts w:ascii="Times New Roman" w:eastAsia="Times New Roman" w:hAnsi="Times New Roman" w:cs="Times New Roman"/>
          <w:noProof/>
          <w:color w:val="000000"/>
          <w:lang w:eastAsia="pt-BR"/>
        </w:rPr>
        <w:drawing>
          <wp:anchor distT="0" distB="0" distL="114300" distR="114300" simplePos="0" relativeHeight="251667968" behindDoc="0" locked="0" layoutInCell="1" allowOverlap="1" wp14:anchorId="615C8B6F" wp14:editId="365E0342">
            <wp:simplePos x="0" y="0"/>
            <wp:positionH relativeFrom="column">
              <wp:posOffset>91440</wp:posOffset>
            </wp:positionH>
            <wp:positionV relativeFrom="paragraph">
              <wp:posOffset>-6808851</wp:posOffset>
            </wp:positionV>
            <wp:extent cx="1876425" cy="571500"/>
            <wp:effectExtent l="0" t="0" r="9525" b="0"/>
            <wp:wrapNone/>
            <wp:docPr id="2" name="Imagem 2">
              <a:extLst xmlns:a="http://schemas.openxmlformats.org/drawingml/2006/main">
                <a:ext uri="{63B3BB69-23CF-44E3-9099-C40C66FF867C}">
                  <a14:compatExt xmlns:a14="http://schemas.microsoft.com/office/drawing/2010/main" spid="_x0000_s4097"/>
                </a:ext>
                <a:ext uri="{FF2B5EF4-FFF2-40B4-BE49-F238E27FC236}">
                  <a16:creationId xmlns:a16="http://schemas.microsoft.com/office/drawing/2014/main" id="{00000000-0008-0000-0000-000001100000}"/>
                </a:ext>
              </a:extLst>
            </wp:docPr>
            <wp:cNvGraphicFramePr/>
            <a:graphic xmlns:a="http://schemas.openxmlformats.org/drawingml/2006/main">
              <a:graphicData uri="http://schemas.openxmlformats.org/drawingml/2006/picture">
                <pic:pic xmlns:pic="http://schemas.openxmlformats.org/drawingml/2006/picture">
                  <pic:nvPicPr>
                    <pic:cNvPr id="2" name="Objeto 1">
                      <a:extLst>
                        <a:ext uri="{63B3BB69-23CF-44E3-9099-C40C66FF867C}">
                          <a14:compatExt xmlns:a14="http://schemas.microsoft.com/office/drawing/2010/main" spid="_x0000_s4097"/>
                        </a:ext>
                        <a:ext uri="{FF2B5EF4-FFF2-40B4-BE49-F238E27FC236}">
                          <a16:creationId xmlns:a16="http://schemas.microsoft.com/office/drawing/2014/main" id="{00000000-0008-0000-0000-000001100000}"/>
                        </a:ext>
                      </a:extLst>
                    </pic:cNvPr>
                    <pic:cNvPicPr>
                      <a:picLocks noChangeAspect="1"/>
                    </pic:cNvPicPr>
                  </pic:nvPicPr>
                  <pic:blipFill>
                    <a:blip r:embed="rId4"/>
                    <a:stretch>
                      <a:fillRect/>
                    </a:stretch>
                  </pic:blipFill>
                  <pic:spPr>
                    <a:xfrm>
                      <a:off x="0" y="0"/>
                      <a:ext cx="1876425" cy="571500"/>
                    </a:xfrm>
                    <a:prstGeom prst="rect">
                      <a:avLst/>
                    </a:prstGeom>
                  </pic:spPr>
                </pic:pic>
              </a:graphicData>
            </a:graphic>
            <wp14:sizeRelH relativeFrom="page">
              <wp14:pctWidth>0</wp14:pctWidth>
            </wp14:sizeRelH>
            <wp14:sizeRelV relativeFrom="page">
              <wp14:pctHeight>0</wp14:pctHeight>
            </wp14:sizeRelV>
          </wp:anchor>
        </w:drawing>
      </w:r>
    </w:p>
    <w:sectPr w:rsidR="00625203" w:rsidRPr="00436B26" w:rsidSect="00965C8F">
      <w:pgSz w:w="16838" w:h="11906" w:orient="landscape"/>
      <w:pgMar w:top="1418"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A27"/>
    <w:rsid w:val="000F0C79"/>
    <w:rsid w:val="001250FF"/>
    <w:rsid w:val="00203AD4"/>
    <w:rsid w:val="00242A0B"/>
    <w:rsid w:val="00302389"/>
    <w:rsid w:val="003F01DE"/>
    <w:rsid w:val="00436B26"/>
    <w:rsid w:val="00487595"/>
    <w:rsid w:val="00494BE6"/>
    <w:rsid w:val="0052067B"/>
    <w:rsid w:val="00552A27"/>
    <w:rsid w:val="005A0D5F"/>
    <w:rsid w:val="0061224D"/>
    <w:rsid w:val="006A533F"/>
    <w:rsid w:val="0078094F"/>
    <w:rsid w:val="00965C8F"/>
    <w:rsid w:val="00B071FC"/>
    <w:rsid w:val="00B752CE"/>
    <w:rsid w:val="00BA7EB2"/>
    <w:rsid w:val="00D70126"/>
    <w:rsid w:val="00DE52D9"/>
    <w:rsid w:val="00DF184B"/>
    <w:rsid w:val="00F30362"/>
    <w:rsid w:val="00FB23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07F4DB"/>
  <w15:chartTrackingRefBased/>
  <w15:docId w15:val="{4C22B539-2E24-4AB1-B7F4-3789DFBA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552A27"/>
    <w:pPr>
      <w:spacing w:before="100" w:beforeAutospacing="1" w:after="100" w:afterAutospacing="1" w:line="240" w:lineRule="auto"/>
    </w:pPr>
    <w:rPr>
      <w:rFonts w:ascii="Times New Roman" w:eastAsiaTheme="minorEastAsia" w:hAnsi="Times New Roman" w:cs="Times New Roman"/>
      <w:sz w:val="24"/>
      <w:szCs w:val="24"/>
      <w:lang w:eastAsia="pt-BR"/>
    </w:rPr>
  </w:style>
  <w:style w:type="paragraph" w:styleId="Textodebalo">
    <w:name w:val="Balloon Text"/>
    <w:basedOn w:val="Normal"/>
    <w:link w:val="TextodebaloChar"/>
    <w:uiPriority w:val="99"/>
    <w:semiHidden/>
    <w:unhideWhenUsed/>
    <w:rsid w:val="000F0C7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F0C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62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433</Words>
  <Characters>2342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Gomes da Rocha</dc:creator>
  <cp:keywords/>
  <dc:description/>
  <cp:lastModifiedBy>codevasf 6sr</cp:lastModifiedBy>
  <cp:revision>13</cp:revision>
  <cp:lastPrinted>2017-10-26T17:10:00Z</cp:lastPrinted>
  <dcterms:created xsi:type="dcterms:W3CDTF">2017-09-27T18:56:00Z</dcterms:created>
  <dcterms:modified xsi:type="dcterms:W3CDTF">2017-10-26T17:12:00Z</dcterms:modified>
</cp:coreProperties>
</file>