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Cs w:val="20"/>
        </w:rPr>
      </w:pPr>
      <w:bookmarkStart w:id="0" w:name="_GoBack"/>
      <w:bookmarkStart w:id="1" w:name="_GoBack"/>
      <w:bookmarkEnd w:id="1"/>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jc w:val="center"/>
        <w:rPr>
          <w:b/>
          <w:b/>
          <w:szCs w:val="20"/>
        </w:rPr>
      </w:pPr>
      <w:r>
        <w:rPr>
          <w:b/>
          <w:szCs w:val="20"/>
        </w:rPr>
        <w:t>TERMO DE REFERÊNCIA</w:t>
      </w:r>
    </w:p>
    <w:p>
      <w:pPr>
        <w:pStyle w:val="Normal"/>
        <w:jc w:val="center"/>
        <w:rPr>
          <w:rFonts w:eastAsia="Times New Roman"/>
          <w:szCs w:val="20"/>
        </w:rPr>
      </w:pPr>
      <w:r>
        <w:rPr>
          <w:rFonts w:eastAsia="Times New Roman"/>
          <w:szCs w:val="20"/>
        </w:rPr>
        <w:t xml:space="preserve">EMPREITADA POR PREÇO UNITÁRIO </w:t>
      </w:r>
    </w:p>
    <w:p>
      <w:pPr>
        <w:pStyle w:val="Normal"/>
        <w:jc w:val="center"/>
        <w:rPr>
          <w:rFonts w:eastAsia="Times New Roman"/>
          <w:szCs w:val="20"/>
        </w:rPr>
      </w:pPr>
      <w:r>
        <w:rPr>
          <w:rFonts w:eastAsia="Times New Roman"/>
          <w:szCs w:val="20"/>
        </w:rPr>
        <w:t xml:space="preserve">VALOR ESTIMADO PÚBLICO </w:t>
      </w:r>
    </w:p>
    <w:p>
      <w:pPr>
        <w:pStyle w:val="Normal"/>
        <w:jc w:val="center"/>
        <w:rPr>
          <w:rFonts w:eastAsia="Times New Roman"/>
          <w:szCs w:val="20"/>
        </w:rPr>
      </w:pPr>
      <w:r>
        <w:rPr>
          <w:rFonts w:eastAsia="Times New Roman"/>
          <w:szCs w:val="20"/>
        </w:rPr>
        <w:t xml:space="preserve">MAIOR DESCONTO </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b/>
          <w:b/>
          <w:szCs w:val="20"/>
        </w:rPr>
      </w:pPr>
      <w:r>
        <w:rPr>
          <w:b/>
          <w:szCs w:val="20"/>
        </w:rPr>
        <w:t>CONCLUSÃO DA IMPLANTAÇÃO DA 1ª ETAPA DO SISTEMA DE ESGOTAMENTO SANITÁRIO NO MUNICÍPIO</w:t>
      </w:r>
      <w:r>
        <w:rPr>
          <w:rFonts w:eastAsia="Times New Roman"/>
          <w:b/>
          <w:szCs w:val="20"/>
        </w:rPr>
        <w:t xml:space="preserve"> DE </w:t>
      </w:r>
      <w:r>
        <w:rPr>
          <w:b/>
          <w:szCs w:val="20"/>
        </w:rPr>
        <w:t>MALHADA DOS BOIS</w:t>
      </w:r>
      <w:r>
        <w:rPr>
          <w:rFonts w:eastAsia="Times New Roman"/>
          <w:b/>
          <w:szCs w:val="20"/>
        </w:rPr>
        <w:t>, LOCALIZADO NO ESTADO SERGIPE, ENGLOBANDO: REDE COLETORA, ESTAÇÕES ELEVATÓRIAS DE ESGOTO, ESTAÇÃO DE TRATAMENTO DE ESGOTO (ETE), EMISSÁRIOS/LINHAS DE RECALQUE, LIGAÇÕES DOMICILIARES E MONTAGEM DE EQUIPAMENTO.</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ind w:left="-1276" w:right="-710" w:hanging="0"/>
        <w:jc w:val="center"/>
        <w:rPr>
          <w:szCs w:val="20"/>
        </w:rPr>
      </w:pPr>
      <w:r>
        <w:rPr>
          <w:b/>
          <w:szCs w:val="20"/>
        </w:rPr>
        <w:t>Setembro/2018</w:t>
      </w:r>
      <w:r>
        <w:br w:type="page"/>
      </w:r>
    </w:p>
    <w:p>
      <w:pPr>
        <w:pStyle w:val="Normal"/>
        <w:jc w:val="center"/>
        <w:rPr>
          <w:b/>
          <w:b/>
          <w:szCs w:val="20"/>
        </w:rPr>
      </w:pPr>
      <w:r>
        <w:rPr>
          <w:b/>
          <w:szCs w:val="20"/>
        </w:rPr>
        <w:t>ÍNDICE</w:t>
      </w:r>
    </w:p>
    <w:p>
      <w:pPr>
        <w:pStyle w:val="Normal"/>
        <w:rPr/>
      </w:pPr>
      <w:r>
        <w:rPr/>
      </w:r>
    </w:p>
    <w:p>
      <w:pPr>
        <w:pStyle w:val="Sumrio1"/>
        <w:rPr>
          <w:rFonts w:eastAsia="" w:eastAsiaTheme="minorEastAsia"/>
          <w:lang w:eastAsia="pt-BR"/>
        </w:rPr>
      </w:pPr>
      <w:r>
        <w:fldChar w:fldCharType="begin"/>
      </w:r>
      <w:r>
        <w:instrText> TOC \z \o "1-1" \u </w:instrText>
      </w:r>
      <w:r>
        <w:fldChar w:fldCharType="separate"/>
      </w:r>
      <w:hyperlink w:anchor="_Toc514937643">
        <w:r>
          <w:rPr>
            <w:webHidden/>
            <w:rStyle w:val="Vnculodendice"/>
            <w:color w:val="00000A"/>
          </w:rPr>
          <w:t>1.</w:t>
        </w:r>
        <w:r>
          <w:rPr>
            <w:rStyle w:val="Vnculodendice"/>
            <w:rFonts w:eastAsia="" w:eastAsiaTheme="minorEastAsia"/>
            <w:lang w:eastAsia="pt-BR"/>
          </w:rPr>
          <w:tab/>
        </w:r>
        <w:r>
          <w:rPr>
            <w:rStyle w:val="Vnculodendice"/>
            <w:color w:val="00000A"/>
          </w:rPr>
          <w:t>OBJETO DA CONTRATAÇÃO</w:t>
        </w:r>
        <w:r>
          <w:rPr>
            <w:webHidden/>
          </w:rPr>
          <w:fldChar w:fldCharType="begin"/>
        </w:r>
        <w:r>
          <w:rPr>
            <w:webHidden/>
          </w:rPr>
          <w:instrText>PAGEREF _Toc514937643 \h</w:instrText>
        </w:r>
        <w:r>
          <w:rPr>
            <w:webHidden/>
          </w:rPr>
          <w:fldChar w:fldCharType="separate"/>
        </w:r>
        <w:r>
          <w:rPr>
            <w:rStyle w:val="Vnculodendice"/>
            <w:vanish w:val="false"/>
          </w:rPr>
          <w:tab/>
          <w:t>3</w:t>
        </w:r>
        <w:r>
          <w:rPr>
            <w:webHidden/>
          </w:rPr>
          <w:fldChar w:fldCharType="end"/>
        </w:r>
      </w:hyperlink>
    </w:p>
    <w:p>
      <w:pPr>
        <w:pStyle w:val="Sumrio1"/>
        <w:rPr>
          <w:rFonts w:eastAsia="" w:eastAsiaTheme="minorEastAsia"/>
          <w:lang w:eastAsia="pt-BR"/>
        </w:rPr>
      </w:pPr>
      <w:hyperlink w:anchor="_Toc514937644">
        <w:r>
          <w:rPr>
            <w:webHidden/>
            <w:rStyle w:val="Vnculodendice"/>
            <w:color w:val="00000A"/>
          </w:rPr>
          <w:t>2.</w:t>
        </w:r>
        <w:r>
          <w:rPr>
            <w:rStyle w:val="Vnculodendice"/>
            <w:rFonts w:eastAsia="" w:eastAsiaTheme="minorEastAsia"/>
            <w:lang w:eastAsia="pt-BR"/>
          </w:rPr>
          <w:tab/>
        </w:r>
        <w:r>
          <w:rPr>
            <w:rStyle w:val="Vnculodendice"/>
            <w:color w:val="00000A"/>
          </w:rPr>
          <w:t>TERMINOLOGIAS E DEFINIÇÕES</w:t>
        </w:r>
        <w:r>
          <w:rPr>
            <w:webHidden/>
          </w:rPr>
          <w:fldChar w:fldCharType="begin"/>
        </w:r>
        <w:r>
          <w:rPr>
            <w:webHidden/>
          </w:rPr>
          <w:instrText>PAGEREF _Toc514937644 \h</w:instrText>
        </w:r>
        <w:r>
          <w:rPr>
            <w:webHidden/>
          </w:rPr>
          <w:fldChar w:fldCharType="separate"/>
        </w:r>
        <w:r>
          <w:rPr>
            <w:rStyle w:val="Vnculodendice"/>
            <w:vanish w:val="false"/>
          </w:rPr>
          <w:tab/>
          <w:t>3</w:t>
        </w:r>
        <w:r>
          <w:rPr>
            <w:webHidden/>
          </w:rPr>
          <w:fldChar w:fldCharType="end"/>
        </w:r>
      </w:hyperlink>
    </w:p>
    <w:p>
      <w:pPr>
        <w:pStyle w:val="Sumrio1"/>
        <w:rPr>
          <w:rFonts w:eastAsia="" w:eastAsiaTheme="minorEastAsia"/>
          <w:lang w:eastAsia="pt-BR"/>
        </w:rPr>
      </w:pPr>
      <w:hyperlink w:anchor="_Toc514937645">
        <w:r>
          <w:rPr>
            <w:webHidden/>
            <w:rStyle w:val="Vnculodendice"/>
            <w:color w:val="00000A"/>
          </w:rPr>
          <w:t>3.</w:t>
        </w:r>
        <w:r>
          <w:rPr>
            <w:rStyle w:val="Vnculodendice"/>
            <w:rFonts w:eastAsia="" w:eastAsiaTheme="minorEastAsia"/>
            <w:lang w:eastAsia="pt-BR"/>
          </w:rPr>
          <w:tab/>
        </w:r>
        <w:r>
          <w:rPr>
            <w:rStyle w:val="Vnculodendice"/>
            <w:color w:val="00000A"/>
          </w:rPr>
          <w:t>REGIME DE EXECUÇÃO, VALOR ESTIMADO E CRITÉRIO DE JULGAMENTO.</w:t>
        </w:r>
        <w:r>
          <w:rPr>
            <w:webHidden/>
          </w:rPr>
          <w:fldChar w:fldCharType="begin"/>
        </w:r>
        <w:r>
          <w:rPr>
            <w:webHidden/>
          </w:rPr>
          <w:instrText>PAGEREF _Toc514937645 \h</w:instrText>
        </w:r>
        <w:r>
          <w:rPr>
            <w:webHidden/>
          </w:rPr>
          <w:fldChar w:fldCharType="separate"/>
        </w:r>
        <w:r>
          <w:rPr>
            <w:rStyle w:val="Vnculodendice"/>
            <w:vanish w:val="false"/>
          </w:rPr>
          <w:tab/>
          <w:t>5</w:t>
        </w:r>
        <w:r>
          <w:rPr>
            <w:webHidden/>
          </w:rPr>
          <w:fldChar w:fldCharType="end"/>
        </w:r>
      </w:hyperlink>
    </w:p>
    <w:p>
      <w:pPr>
        <w:pStyle w:val="Sumrio1"/>
        <w:rPr>
          <w:rFonts w:eastAsia="" w:eastAsiaTheme="minorEastAsia"/>
          <w:lang w:eastAsia="pt-BR"/>
        </w:rPr>
      </w:pPr>
      <w:hyperlink w:anchor="_Toc514937646">
        <w:r>
          <w:rPr>
            <w:webHidden/>
            <w:rStyle w:val="Vnculodendice"/>
            <w:color w:val="00000A"/>
          </w:rPr>
          <w:t>4.</w:t>
        </w:r>
        <w:r>
          <w:rPr>
            <w:rStyle w:val="Vnculodendice"/>
            <w:rFonts w:eastAsia="" w:eastAsiaTheme="minorEastAsia"/>
            <w:lang w:eastAsia="pt-BR"/>
          </w:rPr>
          <w:tab/>
        </w:r>
        <w:r>
          <w:rPr>
            <w:rStyle w:val="Vnculodendice"/>
            <w:color w:val="00000A"/>
          </w:rPr>
          <w:t>LOCALIZAÇÃO DO OBJETO</w:t>
        </w:r>
        <w:r>
          <w:rPr>
            <w:webHidden/>
          </w:rPr>
          <w:fldChar w:fldCharType="begin"/>
        </w:r>
        <w:r>
          <w:rPr>
            <w:webHidden/>
          </w:rPr>
          <w:instrText>PAGEREF _Toc514937646 \h</w:instrText>
        </w:r>
        <w:r>
          <w:rPr>
            <w:webHidden/>
          </w:rPr>
          <w:fldChar w:fldCharType="separate"/>
        </w:r>
        <w:r>
          <w:rPr>
            <w:rStyle w:val="Vnculodendice"/>
            <w:vanish w:val="false"/>
          </w:rPr>
          <w:tab/>
          <w:t>5</w:t>
        </w:r>
        <w:r>
          <w:rPr>
            <w:webHidden/>
          </w:rPr>
          <w:fldChar w:fldCharType="end"/>
        </w:r>
      </w:hyperlink>
    </w:p>
    <w:p>
      <w:pPr>
        <w:pStyle w:val="Sumrio1"/>
        <w:rPr>
          <w:rFonts w:eastAsia="" w:eastAsiaTheme="minorEastAsia"/>
          <w:lang w:eastAsia="pt-BR"/>
        </w:rPr>
      </w:pPr>
      <w:hyperlink w:anchor="_Toc514937647">
        <w:r>
          <w:rPr>
            <w:webHidden/>
            <w:rStyle w:val="Vnculodendice"/>
            <w:color w:val="00000A"/>
          </w:rPr>
          <w:t>5.</w:t>
        </w:r>
        <w:r>
          <w:rPr>
            <w:rStyle w:val="Vnculodendice"/>
            <w:rFonts w:eastAsia="" w:eastAsiaTheme="minorEastAsia"/>
            <w:lang w:eastAsia="pt-BR"/>
          </w:rPr>
          <w:tab/>
        </w:r>
        <w:r>
          <w:rPr>
            <w:rStyle w:val="Vnculodendice"/>
            <w:color w:val="00000A"/>
          </w:rPr>
          <w:t>DESCRIÇÃO DOS SERVIÇOS</w:t>
        </w:r>
        <w:r>
          <w:rPr>
            <w:webHidden/>
          </w:rPr>
          <w:fldChar w:fldCharType="begin"/>
        </w:r>
        <w:r>
          <w:rPr>
            <w:webHidden/>
          </w:rPr>
          <w:instrText>PAGEREF _Toc514937647 \h</w:instrText>
        </w:r>
        <w:r>
          <w:rPr>
            <w:webHidden/>
          </w:rPr>
          <w:fldChar w:fldCharType="separate"/>
        </w:r>
        <w:r>
          <w:rPr>
            <w:rStyle w:val="Vnculodendice"/>
            <w:vanish w:val="false"/>
          </w:rPr>
          <w:tab/>
          <w:t>6</w:t>
        </w:r>
        <w:r>
          <w:rPr>
            <w:webHidden/>
          </w:rPr>
          <w:fldChar w:fldCharType="end"/>
        </w:r>
      </w:hyperlink>
    </w:p>
    <w:p>
      <w:pPr>
        <w:pStyle w:val="Sumrio1"/>
        <w:rPr>
          <w:rFonts w:eastAsia="" w:eastAsiaTheme="minorEastAsia"/>
          <w:lang w:eastAsia="pt-BR"/>
        </w:rPr>
      </w:pPr>
      <w:hyperlink w:anchor="_Toc514937648">
        <w:r>
          <w:rPr>
            <w:webHidden/>
            <w:rStyle w:val="Vnculodendice"/>
            <w:color w:val="00000A"/>
          </w:rPr>
          <w:t>6.</w:t>
        </w:r>
        <w:r>
          <w:rPr>
            <w:rStyle w:val="Vnculodendice"/>
            <w:rFonts w:eastAsia="" w:eastAsiaTheme="minorEastAsia"/>
            <w:lang w:eastAsia="pt-BR"/>
          </w:rPr>
          <w:tab/>
        </w:r>
        <w:r>
          <w:rPr>
            <w:rStyle w:val="Vnculodendice"/>
            <w:color w:val="00000A"/>
          </w:rPr>
          <w:t>CONDIÇÕES DE PARTICIPAÇÃO</w:t>
        </w:r>
        <w:r>
          <w:rPr>
            <w:webHidden/>
          </w:rPr>
          <w:fldChar w:fldCharType="begin"/>
        </w:r>
        <w:r>
          <w:rPr>
            <w:webHidden/>
          </w:rPr>
          <w:instrText>PAGEREF _Toc514937648 \h</w:instrText>
        </w:r>
        <w:r>
          <w:rPr>
            <w:webHidden/>
          </w:rPr>
          <w:fldChar w:fldCharType="separate"/>
        </w:r>
        <w:r>
          <w:rPr>
            <w:rStyle w:val="Vnculodendice"/>
            <w:vanish w:val="false"/>
          </w:rPr>
          <w:tab/>
          <w:t>6</w:t>
        </w:r>
        <w:r>
          <w:rPr>
            <w:webHidden/>
          </w:rPr>
          <w:fldChar w:fldCharType="end"/>
        </w:r>
      </w:hyperlink>
    </w:p>
    <w:p>
      <w:pPr>
        <w:pStyle w:val="Sumrio1"/>
        <w:rPr>
          <w:rFonts w:eastAsia="" w:eastAsiaTheme="minorEastAsia"/>
          <w:lang w:eastAsia="pt-BR"/>
        </w:rPr>
      </w:pPr>
      <w:hyperlink w:anchor="_Toc514937649">
        <w:r>
          <w:rPr>
            <w:webHidden/>
            <w:rStyle w:val="Vnculodendice"/>
            <w:color w:val="00000A"/>
          </w:rPr>
          <w:t>7.</w:t>
        </w:r>
        <w:r>
          <w:rPr>
            <w:rStyle w:val="Vnculodendice"/>
            <w:rFonts w:eastAsia="" w:eastAsiaTheme="minorEastAsia"/>
            <w:lang w:eastAsia="pt-BR"/>
          </w:rPr>
          <w:tab/>
        </w:r>
        <w:r>
          <w:rPr>
            <w:rStyle w:val="Vnculodendice"/>
            <w:color w:val="00000A"/>
          </w:rPr>
          <w:t>PROPOSTA</w:t>
        </w:r>
        <w:r>
          <w:rPr>
            <w:webHidden/>
          </w:rPr>
          <w:fldChar w:fldCharType="begin"/>
        </w:r>
        <w:r>
          <w:rPr>
            <w:webHidden/>
          </w:rPr>
          <w:instrText>PAGEREF _Toc514937649 \h</w:instrText>
        </w:r>
        <w:r>
          <w:rPr>
            <w:webHidden/>
          </w:rPr>
          <w:fldChar w:fldCharType="separate"/>
        </w:r>
        <w:r>
          <w:rPr>
            <w:rStyle w:val="Vnculodendice"/>
            <w:vanish w:val="false"/>
          </w:rPr>
          <w:tab/>
          <w:t>7</w:t>
        </w:r>
        <w:r>
          <w:rPr>
            <w:webHidden/>
          </w:rPr>
          <w:fldChar w:fldCharType="end"/>
        </w:r>
      </w:hyperlink>
    </w:p>
    <w:p>
      <w:pPr>
        <w:pStyle w:val="Sumrio1"/>
        <w:rPr>
          <w:rFonts w:eastAsia="" w:eastAsiaTheme="minorEastAsia"/>
          <w:lang w:eastAsia="pt-BR"/>
        </w:rPr>
      </w:pPr>
      <w:hyperlink w:anchor="_Toc514937650">
        <w:r>
          <w:rPr>
            <w:webHidden/>
            <w:rStyle w:val="Vnculodendice"/>
            <w:color w:val="00000A"/>
          </w:rPr>
          <w:t>8.</w:t>
        </w:r>
        <w:r>
          <w:rPr>
            <w:rStyle w:val="Vnculodendice"/>
            <w:rFonts w:eastAsia="" w:eastAsiaTheme="minorEastAsia"/>
            <w:lang w:eastAsia="pt-BR"/>
          </w:rPr>
          <w:tab/>
        </w:r>
        <w:r>
          <w:rPr>
            <w:rStyle w:val="Vnculodendice"/>
            <w:color w:val="00000A"/>
          </w:rPr>
          <w:t>DOCUMENTAÇÃO DE HABILITAÇÃO</w:t>
        </w:r>
        <w:r>
          <w:rPr>
            <w:webHidden/>
          </w:rPr>
          <w:fldChar w:fldCharType="begin"/>
        </w:r>
        <w:r>
          <w:rPr>
            <w:webHidden/>
          </w:rPr>
          <w:instrText>PAGEREF _Toc514937650 \h</w:instrText>
        </w:r>
        <w:r>
          <w:rPr>
            <w:webHidden/>
          </w:rPr>
          <w:fldChar w:fldCharType="separate"/>
        </w:r>
        <w:r>
          <w:rPr>
            <w:rStyle w:val="Vnculodendice"/>
            <w:vanish w:val="false"/>
          </w:rPr>
          <w:tab/>
          <w:t>9</w:t>
        </w:r>
        <w:r>
          <w:rPr>
            <w:webHidden/>
          </w:rPr>
          <w:fldChar w:fldCharType="end"/>
        </w:r>
      </w:hyperlink>
    </w:p>
    <w:p>
      <w:pPr>
        <w:pStyle w:val="Sumrio1"/>
        <w:rPr>
          <w:rFonts w:eastAsia="" w:eastAsiaTheme="minorEastAsia"/>
          <w:lang w:eastAsia="pt-BR"/>
        </w:rPr>
      </w:pPr>
      <w:hyperlink w:anchor="_Toc514937651">
        <w:r>
          <w:rPr>
            <w:webHidden/>
            <w:rStyle w:val="Vnculodendice"/>
            <w:color w:val="00000A"/>
          </w:rPr>
          <w:t>9.</w:t>
        </w:r>
        <w:r>
          <w:rPr>
            <w:rStyle w:val="Vnculodendice"/>
            <w:rFonts w:eastAsia="" w:eastAsiaTheme="minorEastAsia"/>
            <w:lang w:eastAsia="pt-BR"/>
          </w:rPr>
          <w:tab/>
        </w:r>
        <w:r>
          <w:rPr>
            <w:rStyle w:val="Vnculodendice"/>
            <w:color w:val="00000A"/>
          </w:rPr>
          <w:t>ORÇAMENTO DE REFERÊNCIA OU ESTIMATIVA DE CUSTO, REFERÊNCIA DE PREÇOS E DOTAÇÃO ORÇAMENTÁRIA</w:t>
        </w:r>
        <w:r>
          <w:rPr>
            <w:webHidden/>
          </w:rPr>
          <w:fldChar w:fldCharType="begin"/>
        </w:r>
        <w:r>
          <w:rPr>
            <w:webHidden/>
          </w:rPr>
          <w:instrText>PAGEREF _Toc514937651 \h</w:instrText>
        </w:r>
        <w:r>
          <w:rPr>
            <w:webHidden/>
          </w:rPr>
          <w:fldChar w:fldCharType="separate"/>
        </w:r>
        <w:r>
          <w:rPr>
            <w:rStyle w:val="Vnculodendice"/>
            <w:vanish w:val="false"/>
          </w:rPr>
          <w:tab/>
          <w:t>11</w:t>
        </w:r>
        <w:r>
          <w:rPr>
            <w:webHidden/>
          </w:rPr>
          <w:fldChar w:fldCharType="end"/>
        </w:r>
      </w:hyperlink>
    </w:p>
    <w:p>
      <w:pPr>
        <w:pStyle w:val="Sumrio1"/>
        <w:rPr>
          <w:rFonts w:eastAsia="" w:eastAsiaTheme="minorEastAsia"/>
          <w:lang w:eastAsia="pt-BR"/>
        </w:rPr>
      </w:pPr>
      <w:hyperlink w:anchor="_Toc514937652">
        <w:r>
          <w:rPr>
            <w:webHidden/>
            <w:rStyle w:val="Vnculodendice"/>
            <w:color w:val="00000A"/>
          </w:rPr>
          <w:t>10.</w:t>
        </w:r>
        <w:r>
          <w:rPr>
            <w:rStyle w:val="Vnculodendice"/>
            <w:rFonts w:eastAsia="" w:eastAsiaTheme="minorEastAsia"/>
            <w:lang w:eastAsia="pt-BR"/>
          </w:rPr>
          <w:tab/>
        </w:r>
        <w:r>
          <w:rPr>
            <w:rStyle w:val="Vnculodendice"/>
            <w:color w:val="00000A"/>
          </w:rPr>
          <w:t>PRAZO DE EXECUÇÃO</w:t>
        </w:r>
        <w:r>
          <w:rPr>
            <w:webHidden/>
          </w:rPr>
          <w:fldChar w:fldCharType="begin"/>
        </w:r>
        <w:r>
          <w:rPr>
            <w:webHidden/>
          </w:rPr>
          <w:instrText>PAGEREF _Toc514937652 \h</w:instrText>
        </w:r>
        <w:r>
          <w:rPr>
            <w:webHidden/>
          </w:rPr>
          <w:fldChar w:fldCharType="separate"/>
        </w:r>
        <w:r>
          <w:rPr>
            <w:rStyle w:val="Vnculodendice"/>
            <w:vanish w:val="false"/>
          </w:rPr>
          <w:tab/>
          <w:t>11</w:t>
        </w:r>
        <w:r>
          <w:rPr>
            <w:webHidden/>
          </w:rPr>
          <w:fldChar w:fldCharType="end"/>
        </w:r>
      </w:hyperlink>
    </w:p>
    <w:p>
      <w:pPr>
        <w:pStyle w:val="Sumrio1"/>
        <w:rPr>
          <w:rFonts w:eastAsia="" w:eastAsiaTheme="minorEastAsia"/>
          <w:lang w:eastAsia="pt-BR"/>
        </w:rPr>
      </w:pPr>
      <w:hyperlink w:anchor="_Toc514937653">
        <w:r>
          <w:rPr>
            <w:webHidden/>
            <w:rStyle w:val="Vnculodendice"/>
            <w:color w:val="00000A"/>
          </w:rPr>
          <w:t>11.</w:t>
        </w:r>
        <w:r>
          <w:rPr>
            <w:rStyle w:val="Vnculodendice"/>
            <w:rFonts w:eastAsia="" w:eastAsiaTheme="minorEastAsia"/>
            <w:lang w:eastAsia="pt-BR"/>
          </w:rPr>
          <w:tab/>
        </w:r>
        <w:r>
          <w:rPr>
            <w:rStyle w:val="Vnculodendice"/>
            <w:color w:val="00000A"/>
          </w:rPr>
          <w:t>FORMAS E CONDIÇÕES DE PAGAMENTO</w:t>
        </w:r>
        <w:r>
          <w:rPr>
            <w:webHidden/>
          </w:rPr>
          <w:fldChar w:fldCharType="begin"/>
        </w:r>
        <w:r>
          <w:rPr>
            <w:webHidden/>
          </w:rPr>
          <w:instrText>PAGEREF _Toc514937653 \h</w:instrText>
        </w:r>
        <w:r>
          <w:rPr>
            <w:webHidden/>
          </w:rPr>
          <w:fldChar w:fldCharType="separate"/>
        </w:r>
        <w:r>
          <w:rPr>
            <w:rStyle w:val="Vnculodendice"/>
            <w:vanish w:val="false"/>
          </w:rPr>
          <w:tab/>
          <w:t>12</w:t>
        </w:r>
        <w:r>
          <w:rPr>
            <w:webHidden/>
          </w:rPr>
          <w:fldChar w:fldCharType="end"/>
        </w:r>
      </w:hyperlink>
    </w:p>
    <w:p>
      <w:pPr>
        <w:pStyle w:val="Sumrio1"/>
        <w:rPr>
          <w:rFonts w:eastAsia="" w:eastAsiaTheme="minorEastAsia"/>
          <w:lang w:eastAsia="pt-BR"/>
        </w:rPr>
      </w:pPr>
      <w:hyperlink w:anchor="_Toc514937654">
        <w:r>
          <w:rPr>
            <w:webHidden/>
            <w:rStyle w:val="Vnculodendice"/>
            <w:color w:val="00000A"/>
          </w:rPr>
          <w:t>12.</w:t>
        </w:r>
        <w:r>
          <w:rPr>
            <w:rStyle w:val="Vnculodendice"/>
            <w:rFonts w:eastAsia="" w:eastAsiaTheme="minorEastAsia"/>
            <w:lang w:eastAsia="pt-BR"/>
          </w:rPr>
          <w:tab/>
        </w:r>
        <w:r>
          <w:rPr>
            <w:rStyle w:val="Vnculodendice"/>
            <w:color w:val="00000A"/>
          </w:rPr>
          <w:t>REAJUSTAMENTO</w:t>
        </w:r>
        <w:r>
          <w:rPr>
            <w:webHidden/>
          </w:rPr>
          <w:fldChar w:fldCharType="begin"/>
        </w:r>
        <w:r>
          <w:rPr>
            <w:webHidden/>
          </w:rPr>
          <w:instrText>PAGEREF _Toc514937654 \h</w:instrText>
        </w:r>
        <w:r>
          <w:rPr>
            <w:webHidden/>
          </w:rPr>
          <w:fldChar w:fldCharType="separate"/>
        </w:r>
        <w:r>
          <w:rPr>
            <w:rStyle w:val="Vnculodendice"/>
            <w:vanish w:val="false"/>
          </w:rPr>
          <w:tab/>
          <w:t>13</w:t>
        </w:r>
        <w:r>
          <w:rPr>
            <w:webHidden/>
          </w:rPr>
          <w:fldChar w:fldCharType="end"/>
        </w:r>
      </w:hyperlink>
    </w:p>
    <w:p>
      <w:pPr>
        <w:pStyle w:val="Sumrio1"/>
        <w:rPr>
          <w:rFonts w:eastAsia="" w:eastAsiaTheme="minorEastAsia"/>
          <w:lang w:eastAsia="pt-BR"/>
        </w:rPr>
      </w:pPr>
      <w:hyperlink w:anchor="_Toc514937655">
        <w:r>
          <w:rPr>
            <w:webHidden/>
            <w:rStyle w:val="Vnculodendice"/>
            <w:color w:val="00000A"/>
          </w:rPr>
          <w:t>13.</w:t>
        </w:r>
        <w:r>
          <w:rPr>
            <w:rStyle w:val="Vnculodendice"/>
            <w:rFonts w:eastAsia="" w:eastAsiaTheme="minorEastAsia"/>
            <w:lang w:eastAsia="pt-BR"/>
          </w:rPr>
          <w:tab/>
        </w:r>
        <w:r>
          <w:rPr>
            <w:rStyle w:val="Vnculodendice"/>
            <w:color w:val="00000A"/>
          </w:rPr>
          <w:t>FISCALIZAÇÃO</w:t>
        </w:r>
        <w:r>
          <w:rPr>
            <w:webHidden/>
          </w:rPr>
          <w:fldChar w:fldCharType="begin"/>
        </w:r>
        <w:r>
          <w:rPr>
            <w:webHidden/>
          </w:rPr>
          <w:instrText>PAGEREF _Toc514937655 \h</w:instrText>
        </w:r>
        <w:r>
          <w:rPr>
            <w:webHidden/>
          </w:rPr>
          <w:fldChar w:fldCharType="separate"/>
        </w:r>
        <w:r>
          <w:rPr>
            <w:rStyle w:val="Vnculodendice"/>
            <w:vanish w:val="false"/>
          </w:rPr>
          <w:tab/>
          <w:t>14</w:t>
        </w:r>
        <w:r>
          <w:rPr>
            <w:webHidden/>
          </w:rPr>
          <w:fldChar w:fldCharType="end"/>
        </w:r>
      </w:hyperlink>
    </w:p>
    <w:p>
      <w:pPr>
        <w:pStyle w:val="Sumrio1"/>
        <w:rPr>
          <w:rFonts w:eastAsia="" w:eastAsiaTheme="minorEastAsia"/>
          <w:lang w:eastAsia="pt-BR"/>
        </w:rPr>
      </w:pPr>
      <w:hyperlink w:anchor="_Toc514937656">
        <w:r>
          <w:rPr>
            <w:webHidden/>
            <w:rStyle w:val="Vnculodendice"/>
            <w:color w:val="00000A"/>
          </w:rPr>
          <w:t>14.</w:t>
        </w:r>
        <w:r>
          <w:rPr>
            <w:rStyle w:val="Vnculodendice"/>
            <w:rFonts w:eastAsia="" w:eastAsiaTheme="minorEastAsia"/>
            <w:lang w:eastAsia="pt-BR"/>
          </w:rPr>
          <w:tab/>
        </w:r>
        <w:r>
          <w:rPr>
            <w:rStyle w:val="Vnculodendice"/>
            <w:color w:val="00000A"/>
          </w:rPr>
          <w:t>RECEBIMENTO DEFINITIVO DOS SERVIÇOS</w:t>
        </w:r>
        <w:r>
          <w:rPr>
            <w:webHidden/>
          </w:rPr>
          <w:fldChar w:fldCharType="begin"/>
        </w:r>
        <w:r>
          <w:rPr>
            <w:webHidden/>
          </w:rPr>
          <w:instrText>PAGEREF _Toc514937656 \h</w:instrText>
        </w:r>
        <w:r>
          <w:rPr>
            <w:webHidden/>
          </w:rPr>
          <w:fldChar w:fldCharType="separate"/>
        </w:r>
        <w:r>
          <w:rPr>
            <w:rStyle w:val="Vnculodendice"/>
            <w:vanish w:val="false"/>
          </w:rPr>
          <w:tab/>
          <w:t>16</w:t>
        </w:r>
        <w:r>
          <w:rPr>
            <w:webHidden/>
          </w:rPr>
          <w:fldChar w:fldCharType="end"/>
        </w:r>
      </w:hyperlink>
    </w:p>
    <w:p>
      <w:pPr>
        <w:pStyle w:val="Sumrio1"/>
        <w:rPr>
          <w:rFonts w:eastAsia="" w:eastAsiaTheme="minorEastAsia"/>
          <w:lang w:eastAsia="pt-BR"/>
        </w:rPr>
      </w:pPr>
      <w:hyperlink w:anchor="_Toc514937657">
        <w:r>
          <w:rPr>
            <w:webHidden/>
            <w:rStyle w:val="Vnculodendice"/>
            <w:color w:val="00000A"/>
          </w:rPr>
          <w:t>15.</w:t>
        </w:r>
        <w:r>
          <w:rPr>
            <w:rStyle w:val="Vnculodendice"/>
            <w:rFonts w:eastAsia="" w:eastAsiaTheme="minorEastAsia"/>
            <w:lang w:eastAsia="pt-BR"/>
          </w:rPr>
          <w:tab/>
        </w:r>
        <w:r>
          <w:rPr>
            <w:rStyle w:val="Vnculodendice"/>
            <w:color w:val="00000A"/>
          </w:rPr>
          <w:t>SEGURANÇA E MEDICINA DO TRABALHO</w:t>
        </w:r>
        <w:r>
          <w:rPr>
            <w:webHidden/>
          </w:rPr>
          <w:fldChar w:fldCharType="begin"/>
        </w:r>
        <w:r>
          <w:rPr>
            <w:webHidden/>
          </w:rPr>
          <w:instrText>PAGEREF _Toc514937657 \h</w:instrText>
        </w:r>
        <w:r>
          <w:rPr>
            <w:webHidden/>
          </w:rPr>
          <w:fldChar w:fldCharType="separate"/>
        </w:r>
        <w:r>
          <w:rPr>
            <w:rStyle w:val="Vnculodendice"/>
            <w:vanish w:val="false"/>
          </w:rPr>
          <w:tab/>
          <w:t>17</w:t>
        </w:r>
        <w:r>
          <w:rPr>
            <w:webHidden/>
          </w:rPr>
          <w:fldChar w:fldCharType="end"/>
        </w:r>
      </w:hyperlink>
    </w:p>
    <w:p>
      <w:pPr>
        <w:pStyle w:val="Sumrio1"/>
        <w:rPr>
          <w:rFonts w:eastAsia="" w:eastAsiaTheme="minorEastAsia"/>
          <w:lang w:eastAsia="pt-BR"/>
        </w:rPr>
      </w:pPr>
      <w:hyperlink w:anchor="_Toc514937658">
        <w:r>
          <w:rPr>
            <w:webHidden/>
            <w:rStyle w:val="Vnculodendice"/>
            <w:color w:val="00000A"/>
          </w:rPr>
          <w:t>16.</w:t>
        </w:r>
        <w:r>
          <w:rPr>
            <w:rStyle w:val="Vnculodendice"/>
            <w:rFonts w:eastAsia="" w:eastAsiaTheme="minorEastAsia"/>
            <w:lang w:eastAsia="pt-BR"/>
          </w:rPr>
          <w:tab/>
        </w:r>
        <w:r>
          <w:rPr>
            <w:rStyle w:val="Vnculodendice"/>
            <w:color w:val="00000A"/>
          </w:rPr>
          <w:t>CRITÉRIOS DE SUSTENTABILIDADE AMBIENTAL (Obs.: Adequar conforme cada objeto)</w:t>
        </w:r>
        <w:r>
          <w:rPr>
            <w:webHidden/>
          </w:rPr>
          <w:fldChar w:fldCharType="begin"/>
        </w:r>
        <w:r>
          <w:rPr>
            <w:webHidden/>
          </w:rPr>
          <w:instrText>PAGEREF _Toc514937658 \h</w:instrText>
        </w:r>
        <w:r>
          <w:rPr>
            <w:webHidden/>
          </w:rPr>
          <w:fldChar w:fldCharType="separate"/>
        </w:r>
        <w:r>
          <w:rPr>
            <w:rStyle w:val="Vnculodendice"/>
            <w:vanish w:val="false"/>
          </w:rPr>
          <w:tab/>
          <w:t>17</w:t>
        </w:r>
        <w:r>
          <w:rPr>
            <w:webHidden/>
          </w:rPr>
          <w:fldChar w:fldCharType="end"/>
        </w:r>
      </w:hyperlink>
    </w:p>
    <w:p>
      <w:pPr>
        <w:pStyle w:val="Sumrio1"/>
        <w:rPr>
          <w:rFonts w:eastAsia="" w:eastAsiaTheme="minorEastAsia"/>
          <w:lang w:eastAsia="pt-BR"/>
        </w:rPr>
      </w:pPr>
      <w:hyperlink w:anchor="_Toc514937659">
        <w:r>
          <w:rPr>
            <w:webHidden/>
            <w:rStyle w:val="Vnculodendice"/>
            <w:color w:val="00000A"/>
          </w:rPr>
          <w:t>17.</w:t>
        </w:r>
        <w:r>
          <w:rPr>
            <w:rStyle w:val="Vnculodendice"/>
            <w:rFonts w:eastAsia="" w:eastAsiaTheme="minorEastAsia"/>
            <w:lang w:eastAsia="pt-BR"/>
          </w:rPr>
          <w:tab/>
        </w:r>
        <w:r>
          <w:rPr>
            <w:rStyle w:val="Vnculodendice"/>
            <w:color w:val="00000A"/>
          </w:rPr>
          <w:t>OBRIGAÇÕES DA CONTRATADA</w:t>
        </w:r>
        <w:r>
          <w:rPr>
            <w:webHidden/>
          </w:rPr>
          <w:fldChar w:fldCharType="begin"/>
        </w:r>
        <w:r>
          <w:rPr>
            <w:webHidden/>
          </w:rPr>
          <w:instrText>PAGEREF _Toc514937659 \h</w:instrText>
        </w:r>
        <w:r>
          <w:rPr>
            <w:webHidden/>
          </w:rPr>
          <w:fldChar w:fldCharType="separate"/>
        </w:r>
        <w:r>
          <w:rPr>
            <w:rStyle w:val="Vnculodendice"/>
            <w:vanish w:val="false"/>
          </w:rPr>
          <w:tab/>
          <w:t>20</w:t>
        </w:r>
        <w:r>
          <w:rPr>
            <w:webHidden/>
          </w:rPr>
          <w:fldChar w:fldCharType="end"/>
        </w:r>
      </w:hyperlink>
    </w:p>
    <w:p>
      <w:pPr>
        <w:pStyle w:val="Sumrio1"/>
        <w:rPr>
          <w:rFonts w:eastAsia="" w:eastAsiaTheme="minorEastAsia"/>
          <w:lang w:eastAsia="pt-BR"/>
        </w:rPr>
      </w:pPr>
      <w:hyperlink w:anchor="_Toc514937660">
        <w:r>
          <w:rPr>
            <w:webHidden/>
            <w:rStyle w:val="Vnculodendice"/>
            <w:color w:val="00000A"/>
          </w:rPr>
          <w:t>18.</w:t>
        </w:r>
        <w:r>
          <w:rPr>
            <w:rStyle w:val="Vnculodendice"/>
            <w:rFonts w:eastAsia="" w:eastAsiaTheme="minorEastAsia"/>
            <w:lang w:eastAsia="pt-BR"/>
          </w:rPr>
          <w:tab/>
        </w:r>
        <w:r>
          <w:rPr>
            <w:rStyle w:val="Vnculodendice"/>
            <w:color w:val="00000A"/>
          </w:rPr>
          <w:t>OBRIGAÇÕES DA CODEVASF</w:t>
        </w:r>
        <w:r>
          <w:rPr>
            <w:webHidden/>
          </w:rPr>
          <w:fldChar w:fldCharType="begin"/>
        </w:r>
        <w:r>
          <w:rPr>
            <w:webHidden/>
          </w:rPr>
          <w:instrText>PAGEREF _Toc514937660 \h</w:instrText>
        </w:r>
        <w:r>
          <w:rPr>
            <w:webHidden/>
          </w:rPr>
          <w:fldChar w:fldCharType="separate"/>
        </w:r>
        <w:r>
          <w:rPr>
            <w:rStyle w:val="Vnculodendice"/>
            <w:vanish w:val="false"/>
          </w:rPr>
          <w:tab/>
          <w:t>25</w:t>
        </w:r>
        <w:r>
          <w:rPr>
            <w:webHidden/>
          </w:rPr>
          <w:fldChar w:fldCharType="end"/>
        </w:r>
      </w:hyperlink>
    </w:p>
    <w:p>
      <w:pPr>
        <w:pStyle w:val="Sumrio1"/>
        <w:rPr>
          <w:rFonts w:eastAsia="" w:eastAsiaTheme="minorEastAsia"/>
          <w:lang w:eastAsia="pt-BR"/>
        </w:rPr>
      </w:pPr>
      <w:hyperlink w:anchor="_Toc514937661">
        <w:r>
          <w:rPr>
            <w:webHidden/>
            <w:rStyle w:val="Vnculodendice"/>
            <w:color w:val="00000A"/>
          </w:rPr>
          <w:t>19.</w:t>
        </w:r>
        <w:r>
          <w:rPr>
            <w:rStyle w:val="Vnculodendice"/>
            <w:rFonts w:eastAsia="" w:eastAsiaTheme="minorEastAsia"/>
            <w:lang w:eastAsia="pt-BR"/>
          </w:rPr>
          <w:tab/>
        </w:r>
        <w:r>
          <w:rPr>
            <w:rStyle w:val="Vnculodendice"/>
            <w:color w:val="00000A"/>
          </w:rPr>
          <w:t>CONDIÇÕES GERAIS</w:t>
        </w:r>
        <w:r>
          <w:rPr>
            <w:webHidden/>
          </w:rPr>
          <w:fldChar w:fldCharType="begin"/>
        </w:r>
        <w:r>
          <w:rPr>
            <w:webHidden/>
          </w:rPr>
          <w:instrText>PAGEREF _Toc514937661 \h</w:instrText>
        </w:r>
        <w:r>
          <w:rPr>
            <w:webHidden/>
          </w:rPr>
          <w:fldChar w:fldCharType="separate"/>
        </w:r>
        <w:r>
          <w:rPr>
            <w:rStyle w:val="Vnculodendice"/>
            <w:vanish w:val="false"/>
          </w:rPr>
          <w:tab/>
          <w:t>25</w:t>
        </w:r>
        <w:r>
          <w:rPr>
            <w:webHidden/>
          </w:rPr>
          <w:fldChar w:fldCharType="end"/>
        </w:r>
      </w:hyperlink>
    </w:p>
    <w:p>
      <w:pPr>
        <w:pStyle w:val="Sumrio1"/>
        <w:rPr>
          <w:rFonts w:eastAsia="" w:eastAsiaTheme="minorEastAsia"/>
          <w:lang w:eastAsia="pt-BR"/>
        </w:rPr>
      </w:pPr>
      <w:hyperlink w:anchor="_Toc514937662">
        <w:r>
          <w:rPr>
            <w:webHidden/>
            <w:rStyle w:val="Vnculodendice"/>
            <w:color w:val="00000A"/>
          </w:rPr>
          <w:t>20.</w:t>
        </w:r>
        <w:r>
          <w:rPr>
            <w:rStyle w:val="Vnculodendice"/>
            <w:rFonts w:eastAsia="" w:eastAsiaTheme="minorEastAsia"/>
            <w:lang w:eastAsia="pt-BR"/>
          </w:rPr>
          <w:tab/>
        </w:r>
        <w:r>
          <w:rPr>
            <w:rStyle w:val="Vnculodendice"/>
            <w:color w:val="00000A"/>
          </w:rPr>
          <w:t>ANEXOS</w:t>
        </w:r>
        <w:r>
          <w:rPr>
            <w:webHidden/>
          </w:rPr>
          <w:fldChar w:fldCharType="begin"/>
        </w:r>
        <w:r>
          <w:rPr>
            <w:webHidden/>
          </w:rPr>
          <w:instrText>PAGEREF _Toc514937662 \h</w:instrText>
        </w:r>
        <w:r>
          <w:rPr>
            <w:webHidden/>
          </w:rPr>
          <w:fldChar w:fldCharType="separate"/>
        </w:r>
        <w:r>
          <w:rPr>
            <w:rStyle w:val="Vnculodendice"/>
            <w:vanish w:val="false"/>
          </w:rPr>
          <w:tab/>
          <w:t>25</w:t>
        </w:r>
        <w:r>
          <w:rPr>
            <w:webHidden/>
          </w:rPr>
          <w:fldChar w:fldCharType="end"/>
        </w:r>
      </w:hyperlink>
    </w:p>
    <w:p>
      <w:pPr>
        <w:pStyle w:val="Normal"/>
        <w:rPr>
          <w:szCs w:val="20"/>
        </w:rPr>
      </w:pPr>
      <w:r>
        <w:rPr>
          <w:szCs w:val="20"/>
        </w:rPr>
      </w:r>
      <w:r>
        <w:fldChar w:fldCharType="end"/>
      </w:r>
    </w:p>
    <w:p>
      <w:pPr>
        <w:pStyle w:val="Normal"/>
        <w:rPr>
          <w:szCs w:val="20"/>
        </w:rPr>
      </w:pPr>
      <w:r>
        <w:rPr>
          <w:szCs w:val="20"/>
        </w:rPr>
      </w:r>
      <w:r>
        <w:br w:type="page"/>
      </w:r>
    </w:p>
    <w:p>
      <w:pPr>
        <w:pStyle w:val="Normal"/>
        <w:jc w:val="center"/>
        <w:rPr>
          <w:b/>
          <w:b/>
          <w:szCs w:val="20"/>
        </w:rPr>
      </w:pPr>
      <w:r>
        <w:rPr>
          <w:b/>
          <w:szCs w:val="20"/>
        </w:rPr>
        <w:t>TERMO DE REFERÊNCIA</w:t>
      </w:r>
    </w:p>
    <w:p>
      <w:pPr>
        <w:pStyle w:val="Normal"/>
        <w:rPr>
          <w:szCs w:val="20"/>
        </w:rPr>
      </w:pPr>
      <w:r>
        <w:rPr>
          <w:szCs w:val="20"/>
        </w:rPr>
      </w:r>
    </w:p>
    <w:p>
      <w:pPr>
        <w:pStyle w:val="Normal"/>
        <w:rPr>
          <w:szCs w:val="20"/>
        </w:rPr>
      </w:pPr>
      <w:r>
        <w:rPr>
          <w:szCs w:val="20"/>
        </w:rPr>
      </w:r>
    </w:p>
    <w:p>
      <w:pPr>
        <w:pStyle w:val="Ttulo1"/>
        <w:numPr>
          <w:ilvl w:val="0"/>
          <w:numId w:val="2"/>
        </w:numPr>
        <w:ind w:left="0" w:hanging="0"/>
        <w:rPr>
          <w:b w:val="false"/>
          <w:b w:val="false"/>
          <w:szCs w:val="20"/>
        </w:rPr>
      </w:pPr>
      <w:bookmarkStart w:id="2" w:name="_Ref400449093"/>
      <w:bookmarkStart w:id="3" w:name="_Toc514937643"/>
      <w:bookmarkEnd w:id="2"/>
      <w:r>
        <w:rPr>
          <w:szCs w:val="20"/>
        </w:rPr>
        <w:t>OBJETO DA CONTRATAÇÃO</w:t>
      </w:r>
      <w:bookmarkEnd w:id="3"/>
      <w:r>
        <w:rPr>
          <w:szCs w:val="20"/>
        </w:rPr>
        <w:t xml:space="preserve">: </w:t>
      </w:r>
      <w:r>
        <w:rPr>
          <w:b w:val="false"/>
          <w:szCs w:val="20"/>
        </w:rPr>
        <w:t>Conclusão da implantação da 1ª etapa do sistema de esgotamento sanitário no município de Malhada dos Bois, localizado no estado Sergipe, englobando: rede coletora, estações elevatórias de esgoto, estação de tratamento de esgoto (ETE), emissários/linhas de recalque, ligações domiciliares e montagem de equipamentos.</w:t>
      </w:r>
    </w:p>
    <w:p>
      <w:pPr>
        <w:pStyle w:val="Ttulo1"/>
        <w:numPr>
          <w:ilvl w:val="0"/>
          <w:numId w:val="0"/>
        </w:numPr>
        <w:ind w:left="360" w:hanging="0"/>
        <w:rPr>
          <w:szCs w:val="20"/>
        </w:rPr>
      </w:pPr>
      <w:r>
        <w:rPr>
          <w:szCs w:val="20"/>
        </w:rPr>
      </w:r>
    </w:p>
    <w:p>
      <w:pPr>
        <w:pStyle w:val="Ttulo1"/>
        <w:numPr>
          <w:ilvl w:val="0"/>
          <w:numId w:val="0"/>
        </w:numPr>
        <w:ind w:left="360" w:hanging="0"/>
        <w:rPr>
          <w:szCs w:val="20"/>
        </w:rPr>
      </w:pPr>
      <w:r>
        <w:rPr>
          <w:szCs w:val="20"/>
        </w:rPr>
      </w:r>
    </w:p>
    <w:p>
      <w:pPr>
        <w:pStyle w:val="Ttulo1"/>
        <w:numPr>
          <w:ilvl w:val="0"/>
          <w:numId w:val="2"/>
        </w:numPr>
        <w:rPr>
          <w:szCs w:val="20"/>
        </w:rPr>
      </w:pPr>
      <w:bookmarkStart w:id="4" w:name="_Ref400449093"/>
      <w:bookmarkStart w:id="5" w:name="_Toc401910395"/>
      <w:bookmarkStart w:id="6" w:name="_Ref515976573"/>
      <w:bookmarkStart w:id="7" w:name="_Toc514937644"/>
      <w:bookmarkStart w:id="8" w:name="_Toc401910394"/>
      <w:bookmarkEnd w:id="4"/>
      <w:bookmarkEnd w:id="6"/>
      <w:bookmarkEnd w:id="7"/>
      <w:bookmarkEnd w:id="8"/>
      <w:r>
        <w:rPr>
          <w:szCs w:val="20"/>
        </w:rPr>
        <w:t>TERMINOLOGIAS E DEFINIÇÕES</w:t>
      </w:r>
    </w:p>
    <w:p>
      <w:pPr>
        <w:pStyle w:val="Normal"/>
        <w:rPr>
          <w:szCs w:val="20"/>
        </w:rPr>
      </w:pPr>
      <w:r>
        <w:rPr>
          <w:szCs w:val="20"/>
        </w:rPr>
        <w:t>Neste Termo de Referência (TR) ou em quaisquer outros documentos relacionados com o objeto da contratação acima solicitado, os termos ou expressões têm o seguinte significado e/ou interpretação:</w:t>
      </w:r>
    </w:p>
    <w:p>
      <w:pPr>
        <w:pStyle w:val="Normal"/>
        <w:rPr>
          <w:szCs w:val="20"/>
        </w:rPr>
      </w:pPr>
      <w:r>
        <w:rPr>
          <w:szCs w:val="20"/>
        </w:rPr>
      </w:r>
    </w:p>
    <w:p>
      <w:pPr>
        <w:pStyle w:val="Normal"/>
        <w:rPr>
          <w:szCs w:val="20"/>
        </w:rPr>
      </w:pPr>
      <w:r>
        <w:rPr>
          <w:b/>
          <w:szCs w:val="20"/>
        </w:rPr>
        <w:t>TERMO DE REFERÊNCIA (TR)</w:t>
      </w:r>
      <w:r>
        <w:rPr>
          <w:szCs w:val="20"/>
        </w:rPr>
        <w:t xml:space="preserve"> – Conjunto de elementos necessários e suficientes, com nível de precisão adequado, para caracterizar os serviços a serem contratados ou os bens a serem fornecidos.</w:t>
      </w:r>
    </w:p>
    <w:p>
      <w:pPr>
        <w:pStyle w:val="Normal"/>
        <w:rPr>
          <w:szCs w:val="20"/>
        </w:rPr>
      </w:pPr>
      <w:r>
        <w:rPr>
          <w:szCs w:val="20"/>
        </w:rPr>
      </w:r>
    </w:p>
    <w:p>
      <w:pPr>
        <w:pStyle w:val="Normal"/>
        <w:rPr>
          <w:szCs w:val="20"/>
        </w:rPr>
      </w:pPr>
      <w:r>
        <w:rPr>
          <w:b/>
          <w:szCs w:val="20"/>
        </w:rPr>
        <w:t>ÁREA DE REVITALIZAÇÃO DAS BACIAS HIDROGRAFICAS</w:t>
      </w:r>
      <w:r>
        <w:rPr>
          <w:szCs w:val="20"/>
        </w:rPr>
        <w:t>– Unidade da administração superior da Codevasf, a qual está afeta as demais unidades técnicas que têm por competência a fiscalização e a coordenação dos serviços de engenharia objeto deste Termo de Referência.</w:t>
      </w:r>
    </w:p>
    <w:p>
      <w:pPr>
        <w:pStyle w:val="Normal"/>
        <w:rPr>
          <w:szCs w:val="20"/>
        </w:rPr>
      </w:pPr>
      <w:r>
        <w:rPr>
          <w:szCs w:val="20"/>
        </w:rPr>
      </w:r>
    </w:p>
    <w:p>
      <w:pPr>
        <w:pStyle w:val="Normal"/>
        <w:rPr>
          <w:szCs w:val="20"/>
        </w:rPr>
      </w:pPr>
      <w:r>
        <w:rPr>
          <w:b/>
          <w:szCs w:val="20"/>
        </w:rPr>
        <w:t>CANTEIRO DE OBRAS</w:t>
      </w:r>
      <w:r>
        <w:rPr>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pPr>
        <w:pStyle w:val="Normal"/>
        <w:rPr>
          <w:szCs w:val="20"/>
        </w:rPr>
      </w:pPr>
      <w:r>
        <w:rPr>
          <w:szCs w:val="20"/>
        </w:rPr>
      </w:r>
    </w:p>
    <w:p>
      <w:pPr>
        <w:pStyle w:val="Normal"/>
        <w:rPr>
          <w:szCs w:val="20"/>
        </w:rPr>
      </w:pPr>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1 – Brasília/DF.</w:t>
      </w:r>
    </w:p>
    <w:p>
      <w:pPr>
        <w:pStyle w:val="Normal"/>
        <w:rPr>
          <w:szCs w:val="20"/>
        </w:rPr>
      </w:pPr>
      <w:r>
        <w:rPr>
          <w:szCs w:val="20"/>
        </w:rPr>
      </w:r>
    </w:p>
    <w:p>
      <w:pPr>
        <w:pStyle w:val="Normal"/>
        <w:rPr>
          <w:szCs w:val="20"/>
        </w:rPr>
      </w:pPr>
      <w:r>
        <w:rPr>
          <w:b/>
          <w:szCs w:val="20"/>
        </w:rPr>
        <w:t xml:space="preserve">COMO CONSTRUÍDO (AS BUILT) </w:t>
      </w:r>
      <w:r>
        <w:rPr>
          <w:szCs w:val="20"/>
        </w:rPr>
        <w:t>– É a definição qualitativa e quantitativa de todos os serviços executados, resultante do Projeto Executivo com as alterações e modificações ocorridas durante a execução da obra, como desenhos, listas, planilhas, etc.</w:t>
      </w:r>
    </w:p>
    <w:p>
      <w:pPr>
        <w:pStyle w:val="Normal"/>
        <w:rPr>
          <w:szCs w:val="20"/>
        </w:rPr>
      </w:pPr>
      <w:r>
        <w:rPr>
          <w:szCs w:val="20"/>
        </w:rPr>
      </w:r>
    </w:p>
    <w:p>
      <w:pPr>
        <w:pStyle w:val="Normal"/>
        <w:rPr>
          <w:szCs w:val="20"/>
        </w:rPr>
      </w:pPr>
      <w:r>
        <w:rPr>
          <w:b/>
          <w:szCs w:val="20"/>
        </w:rPr>
        <w:t>CONTRATADA</w:t>
      </w:r>
      <w:r>
        <w:rPr>
          <w:szCs w:val="20"/>
        </w:rPr>
        <w:t xml:space="preserve"> – Empresa licitante selecionada e contratada pela Codevasf para a execução do objeto.</w:t>
      </w:r>
    </w:p>
    <w:p>
      <w:pPr>
        <w:pStyle w:val="Normal"/>
        <w:rPr>
          <w:szCs w:val="20"/>
        </w:rPr>
      </w:pPr>
      <w:r>
        <w:rPr>
          <w:szCs w:val="20"/>
        </w:rPr>
      </w:r>
    </w:p>
    <w:p>
      <w:pPr>
        <w:pStyle w:val="Normal"/>
        <w:rPr>
          <w:szCs w:val="20"/>
        </w:rPr>
      </w:pPr>
      <w:r>
        <w:rPr>
          <w:b/>
          <w:szCs w:val="20"/>
        </w:rPr>
        <w:t>CONTRATO</w:t>
      </w:r>
      <w:r>
        <w:rPr>
          <w:szCs w:val="20"/>
        </w:rPr>
        <w:t xml:space="preserve"> – Documento, subscrito pela Codevasf e o licitante vencedor do certame, que define as obrigações e direitos de ambas com relação à execução dos serviços.</w:t>
      </w:r>
    </w:p>
    <w:p>
      <w:pPr>
        <w:pStyle w:val="Normal"/>
        <w:rPr>
          <w:szCs w:val="20"/>
        </w:rPr>
      </w:pPr>
      <w:r>
        <w:rPr>
          <w:szCs w:val="20"/>
        </w:rPr>
      </w:r>
    </w:p>
    <w:p>
      <w:pPr>
        <w:pStyle w:val="Normal"/>
        <w:rPr>
          <w:szCs w:val="20"/>
        </w:rPr>
      </w:pPr>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pPr>
        <w:pStyle w:val="Normal"/>
        <w:rPr>
          <w:szCs w:val="20"/>
        </w:rPr>
      </w:pPr>
      <w:r>
        <w:rPr>
          <w:szCs w:val="20"/>
        </w:rPr>
      </w:r>
    </w:p>
    <w:p>
      <w:pPr>
        <w:pStyle w:val="Normal"/>
        <w:rPr>
          <w:szCs w:val="20"/>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pPr>
        <w:pStyle w:val="Normal"/>
        <w:rPr>
          <w:szCs w:val="20"/>
        </w:rPr>
      </w:pPr>
      <w:r>
        <w:rPr>
          <w:szCs w:val="20"/>
        </w:rPr>
      </w:r>
    </w:p>
    <w:p>
      <w:pPr>
        <w:pStyle w:val="Normal"/>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de preço da executante, cronogramas e demais documentos complementares que se façam necessários à execução do objeto.</w:t>
      </w:r>
    </w:p>
    <w:p>
      <w:pPr>
        <w:pStyle w:val="Normal"/>
        <w:rPr>
          <w:szCs w:val="20"/>
        </w:rPr>
      </w:pPr>
      <w:r>
        <w:rPr>
          <w:szCs w:val="20"/>
        </w:rPr>
      </w:r>
    </w:p>
    <w:p>
      <w:pPr>
        <w:pStyle w:val="Normal"/>
        <w:rPr>
          <w:szCs w:val="20"/>
        </w:rPr>
      </w:pPr>
      <w:r>
        <w:rPr>
          <w:b/>
          <w:szCs w:val="20"/>
        </w:rPr>
        <w:t>DIÁRIO DE OBRA</w:t>
      </w:r>
      <w:r>
        <w:rPr>
          <w:szCs w:val="20"/>
        </w:rPr>
        <w:t xml:space="preserve"> – É uma espécie de memorial da obra, onde são descritos os acontecimentos mais importantes em um determinado dia: os serviços feitos, os equipamentos utilizados (e por quantas horas), as condições do clima, etc. Caso necessário, também podem ser descritos os problemas na execução de serviços, falhas nos equipamentos, etc.</w:t>
      </w:r>
    </w:p>
    <w:p>
      <w:pPr>
        <w:pStyle w:val="Normal"/>
        <w:rPr>
          <w:szCs w:val="20"/>
        </w:rPr>
      </w:pPr>
      <w:r>
        <w:rPr>
          <w:szCs w:val="20"/>
        </w:rPr>
      </w:r>
    </w:p>
    <w:p>
      <w:pPr>
        <w:pStyle w:val="Normal"/>
        <w:rPr>
          <w:szCs w:val="20"/>
        </w:rPr>
      </w:pPr>
      <w:r>
        <w:rPr>
          <w:b/>
          <w:szCs w:val="20"/>
        </w:rPr>
        <w:t>ESPECIFICAÇÃO TÉCNICA</w:t>
      </w:r>
      <w:r>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pPr>
        <w:pStyle w:val="Normal"/>
        <w:rPr>
          <w:szCs w:val="20"/>
        </w:rPr>
      </w:pPr>
      <w:r>
        <w:rPr>
          <w:szCs w:val="20"/>
        </w:rPr>
      </w:r>
    </w:p>
    <w:p>
      <w:pPr>
        <w:pStyle w:val="ListParagraph"/>
        <w:numPr>
          <w:ilvl w:val="0"/>
          <w:numId w:val="21"/>
        </w:numPr>
        <w:ind w:left="714" w:hanging="357"/>
        <w:rPr>
          <w:szCs w:val="20"/>
        </w:rPr>
      </w:pPr>
      <w:r>
        <w:rPr>
          <w:szCs w:val="20"/>
        </w:rPr>
        <w:t>Generalidades - incluem o objetivo, identificação da obra, regime de execução da obra, fiscalização, recebimento da obra, modificações de projeto e classificação dos serviços. Havendo caderno de encargos, este englobará quase todos estes aspectos.</w:t>
      </w:r>
    </w:p>
    <w:p>
      <w:pPr>
        <w:pStyle w:val="ListParagraph"/>
        <w:numPr>
          <w:ilvl w:val="0"/>
          <w:numId w:val="21"/>
        </w:numPr>
        <w:ind w:left="714" w:hanging="357"/>
        <w:rPr>
          <w:szCs w:val="20"/>
        </w:rPr>
      </w:pPr>
      <w:r>
        <w:rPr>
          <w:szCs w:val="20"/>
        </w:rPr>
        <w:t>Especificação dos materiais - pode ser escrito de duas formas: genérica (aplicável a qualquer obra) ou específica (relacionando apenas os materiais a serem usados na obra em questão).</w:t>
      </w:r>
    </w:p>
    <w:p>
      <w:pPr>
        <w:pStyle w:val="ListParagraph"/>
        <w:numPr>
          <w:ilvl w:val="0"/>
          <w:numId w:val="21"/>
        </w:numPr>
        <w:ind w:left="714" w:hanging="357"/>
        <w:rPr>
          <w:szCs w:val="20"/>
        </w:rPr>
      </w:pPr>
      <w:r>
        <w:rPr>
          <w:szCs w:val="20"/>
        </w:rPr>
        <w:t>Discriminação dos serviços - especifica como devem ser executados os serviços, indicando traços de argamassa, método de assentamento, forma de corte de peças, etc.</w:t>
      </w:r>
    </w:p>
    <w:p>
      <w:pPr>
        <w:pStyle w:val="Normal"/>
        <w:rPr>
          <w:szCs w:val="20"/>
        </w:rPr>
      </w:pPr>
      <w:r>
        <w:rPr>
          <w:szCs w:val="20"/>
        </w:rPr>
      </w:r>
    </w:p>
    <w:p>
      <w:pPr>
        <w:pStyle w:val="Normal"/>
        <w:rPr>
          <w:szCs w:val="20"/>
        </w:rPr>
      </w:pPr>
      <w:r>
        <w:rPr>
          <w:b/>
          <w:szCs w:val="20"/>
        </w:rPr>
        <w:t>FISCALIZAÇÃO</w:t>
      </w:r>
      <w:r>
        <w:rPr>
          <w:szCs w:val="20"/>
        </w:rPr>
        <w:t xml:space="preserve"> – Equipe da Codevasf indicada para exercer em sua representação a fiscalização do contrato.</w:t>
      </w:r>
    </w:p>
    <w:p>
      <w:pPr>
        <w:pStyle w:val="Normal"/>
        <w:rPr>
          <w:szCs w:val="20"/>
        </w:rPr>
      </w:pPr>
      <w:r>
        <w:rPr>
          <w:szCs w:val="20"/>
        </w:rPr>
      </w:r>
    </w:p>
    <w:p>
      <w:pPr>
        <w:pStyle w:val="Normal"/>
        <w:rPr>
          <w:szCs w:val="20"/>
        </w:rPr>
      </w:pPr>
      <w:r>
        <w:rPr>
          <w:b/>
          <w:szCs w:val="20"/>
        </w:rPr>
        <w:t>LICITANTE</w:t>
      </w:r>
      <w:r>
        <w:rPr>
          <w:szCs w:val="20"/>
        </w:rPr>
        <w:t xml:space="preserve"> – Empresa habilitada para apresentar proposta.</w:t>
      </w:r>
    </w:p>
    <w:p>
      <w:pPr>
        <w:pStyle w:val="Normal"/>
        <w:rPr>
          <w:szCs w:val="20"/>
        </w:rPr>
      </w:pPr>
      <w:r>
        <w:rPr>
          <w:szCs w:val="20"/>
        </w:rPr>
      </w:r>
    </w:p>
    <w:p>
      <w:pPr>
        <w:pStyle w:val="Normal"/>
        <w:rPr>
          <w:szCs w:val="20"/>
        </w:rPr>
      </w:pPr>
      <w:r>
        <w:rPr>
          <w:b/>
          <w:szCs w:val="20"/>
        </w:rPr>
        <w:t>OBRAS E SERVIÇOS DE ENGENHARIA</w:t>
      </w:r>
      <w:r>
        <w:rPr>
          <w:szCs w:val="20"/>
        </w:rPr>
        <w:t xml:space="preserve"> – São todas as atividades relativas à execução das obras civis, de construção, reforma, recuperação ou ampliação de bem imóvel.</w:t>
      </w:r>
    </w:p>
    <w:p>
      <w:pPr>
        <w:pStyle w:val="Normal"/>
        <w:rPr>
          <w:szCs w:val="20"/>
        </w:rPr>
      </w:pPr>
      <w:r>
        <w:rPr>
          <w:szCs w:val="20"/>
        </w:rPr>
      </w:r>
    </w:p>
    <w:p>
      <w:pPr>
        <w:pStyle w:val="Normal"/>
        <w:rPr>
          <w:szCs w:val="20"/>
        </w:rPr>
      </w:pPr>
      <w:r>
        <w:rPr>
          <w:b/>
          <w:szCs w:val="20"/>
        </w:rPr>
        <w:t>PLANILHA DE CUSTOS DO VALOR DA PROPOSTA DO LICITANTE</w:t>
      </w:r>
      <w:r>
        <w:rPr>
          <w:szCs w:val="20"/>
        </w:rPr>
        <w:t xml:space="preserve"> – Representa o produto do somatório do preço do Licitante de cada item discriminado, multiplicado pelos respectivos quantitativos, gerando o valor para execução do objeto que se pretende contratar.</w:t>
      </w:r>
    </w:p>
    <w:p>
      <w:pPr>
        <w:pStyle w:val="Normal"/>
        <w:rPr>
          <w:szCs w:val="20"/>
        </w:rPr>
      </w:pPr>
      <w:r>
        <w:rPr>
          <w:szCs w:val="20"/>
        </w:rPr>
      </w:r>
    </w:p>
    <w:p>
      <w:pPr>
        <w:pStyle w:val="Normal"/>
        <w:rPr>
          <w:szCs w:val="20"/>
        </w:rPr>
      </w:pPr>
      <w:r>
        <w:rPr>
          <w:b/>
          <w:szCs w:val="20"/>
        </w:rPr>
        <w:t>PLANILHA DE CUSTOS DO VALOR DO ORÇAMENTO DE REFERÊNCIA</w:t>
      </w:r>
      <w:r>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pPr>
        <w:pStyle w:val="Normal"/>
        <w:rPr>
          <w:szCs w:val="20"/>
        </w:rPr>
      </w:pPr>
      <w:r>
        <w:rPr>
          <w:szCs w:val="20"/>
        </w:rPr>
      </w:r>
    </w:p>
    <w:p>
      <w:pPr>
        <w:pStyle w:val="Normal"/>
        <w:rPr>
          <w:szCs w:val="20"/>
        </w:rPr>
      </w:pPr>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pPr>
        <w:pStyle w:val="Normal"/>
        <w:rPr>
          <w:szCs w:val="20"/>
        </w:rPr>
      </w:pPr>
      <w:r>
        <w:rPr>
          <w:szCs w:val="20"/>
        </w:rPr>
      </w:r>
    </w:p>
    <w:p>
      <w:pPr>
        <w:pStyle w:val="Normal"/>
        <w:rPr>
          <w:szCs w:val="20"/>
        </w:rPr>
      </w:pPr>
      <w:r>
        <w:rPr>
          <w:b/>
          <w:szCs w:val="20"/>
        </w:rPr>
        <w:t>PLANO DE GESTÃO AMBIENTAL DA OBRA (PGAO)</w:t>
      </w:r>
      <w:r>
        <w:rPr>
          <w:szCs w:val="20"/>
        </w:rPr>
        <w:t xml:space="preserve"> –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w:t>
      </w:r>
    </w:p>
    <w:p>
      <w:pPr>
        <w:pStyle w:val="Normal"/>
        <w:rPr>
          <w:szCs w:val="20"/>
        </w:rPr>
      </w:pPr>
      <w:r>
        <w:rPr>
          <w:szCs w:val="20"/>
        </w:rPr>
      </w:r>
    </w:p>
    <w:p>
      <w:pPr>
        <w:pStyle w:val="Normal"/>
        <w:rPr>
          <w:rFonts w:eastAsia="Times New Roman"/>
          <w:szCs w:val="20"/>
          <w:lang w:eastAsia="pt-BR"/>
        </w:rPr>
      </w:pPr>
      <w:r>
        <w:rPr>
          <w:rFonts w:eastAsia="Times New Roman"/>
          <w:szCs w:val="20"/>
          <w:lang w:eastAsia="pt-BR"/>
        </w:rPr>
        <w:t>Como objetivos específicos:</w:t>
      </w:r>
    </w:p>
    <w:p>
      <w:pPr>
        <w:pStyle w:val="ListParagraph"/>
        <w:numPr>
          <w:ilvl w:val="0"/>
          <w:numId w:val="28"/>
        </w:numPr>
        <w:ind w:left="714" w:hanging="357"/>
        <w:rPr>
          <w:rFonts w:eastAsia="Times New Roman"/>
          <w:szCs w:val="20"/>
          <w:lang w:eastAsia="pt-BR"/>
        </w:rPr>
      </w:pPr>
      <w:r>
        <w:rPr>
          <w:rFonts w:eastAsia="Times New Roman"/>
          <w:szCs w:val="20"/>
          <w:lang w:eastAsia="pt-BR"/>
        </w:rPr>
        <w:t>Executar a obra de forma a evitar, controlar e/ou mitigar os impactos ambientais associados;</w:t>
      </w:r>
    </w:p>
    <w:p>
      <w:pPr>
        <w:pStyle w:val="ListParagraph"/>
        <w:numPr>
          <w:ilvl w:val="0"/>
          <w:numId w:val="28"/>
        </w:numPr>
        <w:ind w:left="714" w:hanging="357"/>
        <w:rPr>
          <w:rFonts w:eastAsia="Times New Roman"/>
          <w:szCs w:val="20"/>
          <w:lang w:eastAsia="pt-BR"/>
        </w:rPr>
      </w:pPr>
      <w:r>
        <w:rPr>
          <w:rFonts w:eastAsia="Times New Roman"/>
          <w:szCs w:val="20"/>
          <w:lang w:eastAsia="pt-BR"/>
        </w:rPr>
        <w:t>Estabelecer diretrizes que zelem pela melhor qualidade ambiental possível da água, solo, ar, fauna e flora;</w:t>
      </w:r>
    </w:p>
    <w:p>
      <w:pPr>
        <w:pStyle w:val="ListParagraph"/>
        <w:numPr>
          <w:ilvl w:val="0"/>
          <w:numId w:val="28"/>
        </w:numPr>
        <w:ind w:left="714" w:hanging="357"/>
        <w:rPr>
          <w:rFonts w:eastAsia="Times New Roman"/>
          <w:szCs w:val="20"/>
          <w:lang w:eastAsia="pt-BR"/>
        </w:rPr>
      </w:pPr>
      <w:r>
        <w:rPr>
          <w:rFonts w:eastAsia="Times New Roman"/>
          <w:szCs w:val="20"/>
          <w:lang w:eastAsia="pt-BR"/>
        </w:rPr>
        <w:t>Executar trabalhos de educação ambiental junto aos operários da obra;</w:t>
      </w:r>
    </w:p>
    <w:p>
      <w:pPr>
        <w:pStyle w:val="ListParagraph"/>
        <w:numPr>
          <w:ilvl w:val="0"/>
          <w:numId w:val="28"/>
        </w:numPr>
        <w:ind w:left="714" w:hanging="357"/>
        <w:rPr>
          <w:rFonts w:eastAsia="Times New Roman"/>
          <w:szCs w:val="20"/>
          <w:lang w:eastAsia="pt-BR"/>
        </w:rPr>
      </w:pPr>
      <w:r>
        <w:rPr>
          <w:rFonts w:eastAsia="Times New Roman"/>
          <w:szCs w:val="20"/>
          <w:lang w:eastAsia="pt-BR"/>
        </w:rPr>
        <w:t>Evitar interferências negativas, das atividades na obra e dos seus colaboradores sobre o meio ambiente.</w:t>
      </w:r>
    </w:p>
    <w:p>
      <w:pPr>
        <w:pStyle w:val="Normal"/>
        <w:rPr>
          <w:szCs w:val="20"/>
        </w:rPr>
      </w:pPr>
      <w:r>
        <w:rPr>
          <w:szCs w:val="20"/>
        </w:rPr>
      </w:r>
    </w:p>
    <w:p>
      <w:pPr>
        <w:pStyle w:val="Normal"/>
        <w:rPr>
          <w:szCs w:val="20"/>
        </w:rPr>
      </w:pPr>
      <w:r>
        <w:rPr>
          <w:b/>
          <w:szCs w:val="20"/>
        </w:rPr>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pPr>
        <w:pStyle w:val="ListParagraph"/>
        <w:numPr>
          <w:ilvl w:val="0"/>
          <w:numId w:val="19"/>
        </w:numPr>
        <w:ind w:left="714" w:hanging="357"/>
        <w:rPr>
          <w:szCs w:val="20"/>
        </w:rPr>
      </w:pPr>
      <w:r>
        <w:rPr>
          <w:szCs w:val="20"/>
        </w:rPr>
        <w:t>Desenvolvimento da solução escolhida de forma a fornecer visão global da obra e identificar todos os seus elementos constitutivos com clareza;</w:t>
      </w:r>
    </w:p>
    <w:p>
      <w:pPr>
        <w:pStyle w:val="ListParagraph"/>
        <w:numPr>
          <w:ilvl w:val="0"/>
          <w:numId w:val="19"/>
        </w:numPr>
        <w:ind w:left="714" w:hanging="357"/>
        <w:rPr>
          <w:szCs w:val="20"/>
        </w:rPr>
      </w:pPr>
      <w:r>
        <w:rPr>
          <w:szCs w:val="20"/>
        </w:rPr>
        <w:t>Soluções técnicas globais e localizadas, suficientemente detalhadas, de forma a minimizar a necessidade de reformulação ou de variantes durante as fases de elaboração do projeto executivo e de realização das obras e montagem;</w:t>
      </w:r>
    </w:p>
    <w:p>
      <w:pPr>
        <w:pStyle w:val="ListParagraph"/>
        <w:numPr>
          <w:ilvl w:val="0"/>
          <w:numId w:val="19"/>
        </w:numPr>
        <w:ind w:left="714" w:hanging="357"/>
        <w:rPr>
          <w:szCs w:val="20"/>
        </w:rPr>
      </w:pPr>
      <w:r>
        <w:rPr>
          <w:szCs w:val="20"/>
        </w:rPr>
        <w:t>Identificação dos tipos de serviços a executar e de materiais e equipamentos a incorporar à obra, bem como suas especificações que assegurem os melhores resultados para o empreendimento, sem frustrar o caráter competitivo para a sua execução;</w:t>
      </w:r>
    </w:p>
    <w:p>
      <w:pPr>
        <w:pStyle w:val="ListParagraph"/>
        <w:numPr>
          <w:ilvl w:val="0"/>
          <w:numId w:val="19"/>
        </w:numPr>
        <w:ind w:left="714" w:hanging="357"/>
        <w:rPr>
          <w:szCs w:val="20"/>
        </w:rPr>
      </w:pPr>
      <w:r>
        <w:rPr>
          <w:szCs w:val="20"/>
        </w:rPr>
        <w:t>Informações que possibilitem o estudo e a dedução de métodos construtivos, instalações provisórias e condições organizacionais para a obra, sem frustrar o caráter competitivo para a sua execução;</w:t>
      </w:r>
    </w:p>
    <w:p>
      <w:pPr>
        <w:pStyle w:val="ListParagraph"/>
        <w:numPr>
          <w:ilvl w:val="0"/>
          <w:numId w:val="19"/>
        </w:numPr>
        <w:ind w:left="714" w:hanging="357"/>
        <w:rPr>
          <w:szCs w:val="20"/>
        </w:rPr>
      </w:pPr>
      <w:r>
        <w:rPr>
          <w:szCs w:val="20"/>
        </w:rPr>
        <w:t>Subsídios para montagem do plano de licitação e gestão da obra, compreendendo a sua programação, a estratégia de suprimentos, as normas de fiscalização e outros dados necessários em cada caso;</w:t>
      </w:r>
    </w:p>
    <w:p>
      <w:pPr>
        <w:pStyle w:val="Normal"/>
        <w:rPr>
          <w:szCs w:val="20"/>
        </w:rPr>
      </w:pPr>
      <w:r>
        <w:rPr>
          <w:szCs w:val="20"/>
        </w:rPr>
      </w:r>
    </w:p>
    <w:p>
      <w:pPr>
        <w:pStyle w:val="Normal"/>
        <w:rPr>
          <w:szCs w:val="20"/>
        </w:rPr>
      </w:pPr>
      <w:r>
        <w:rPr>
          <w:b/>
          <w:szCs w:val="20"/>
        </w:rPr>
        <w:t>PROJETO EXECUTIVO</w:t>
      </w:r>
      <w:r>
        <w:rPr>
          <w:szCs w:val="20"/>
        </w:rPr>
        <w:t xml:space="preserve"> – É o conjunto dos elementos necessários e suficientes à execução completa da obra, de acordo com as normas pertinentes da Associação Brasileira de Normas Técnicas – ABNT.</w:t>
      </w:r>
    </w:p>
    <w:p>
      <w:pPr>
        <w:pStyle w:val="Normal"/>
        <w:rPr>
          <w:szCs w:val="20"/>
        </w:rPr>
      </w:pPr>
      <w:r>
        <w:rPr>
          <w:szCs w:val="20"/>
        </w:rPr>
      </w:r>
    </w:p>
    <w:p>
      <w:pPr>
        <w:pStyle w:val="Normal"/>
        <w:rPr>
          <w:szCs w:val="20"/>
        </w:rPr>
      </w:pPr>
      <w:r>
        <w:rPr>
          <w:b/>
          <w:szCs w:val="20"/>
        </w:rPr>
        <w:t>PROPOSTA</w:t>
      </w:r>
      <w:r>
        <w:rPr>
          <w:szCs w:val="20"/>
        </w:rPr>
        <w:t xml:space="preserve"> – Documento gerado pelo licitante que estabelece os valores unitário e global dos serviços e fornecimentos, apresentando todo o detalhamento dos custos e preços unitários propostos.</w:t>
      </w:r>
    </w:p>
    <w:p>
      <w:pPr>
        <w:pStyle w:val="Normal"/>
        <w:rPr>
          <w:szCs w:val="20"/>
        </w:rPr>
      </w:pPr>
      <w:r>
        <w:rPr>
          <w:szCs w:val="20"/>
        </w:rPr>
      </w:r>
    </w:p>
    <w:p>
      <w:pPr>
        <w:pStyle w:val="Normal"/>
        <w:rPr>
          <w:szCs w:val="20"/>
        </w:rPr>
      </w:pPr>
      <w:r>
        <w:rPr>
          <w:b/>
          <w:szCs w:val="20"/>
        </w:rPr>
        <w:t>RELATÓRIO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pPr>
        <w:pStyle w:val="Normal"/>
        <w:rPr>
          <w:szCs w:val="20"/>
        </w:rPr>
      </w:pPr>
      <w:r>
        <w:rPr>
          <w:szCs w:val="20"/>
        </w:rPr>
      </w:r>
    </w:p>
    <w:p>
      <w:pPr>
        <w:pStyle w:val="Normal"/>
        <w:rPr>
          <w:szCs w:val="20"/>
        </w:rPr>
      </w:pPr>
      <w:r>
        <w:rPr>
          <w:b/>
          <w:szCs w:val="20"/>
        </w:rPr>
        <w:t>REUNIÃO DE PARTIDA</w:t>
      </w:r>
      <w:r>
        <w:rPr>
          <w:szCs w:val="20"/>
        </w:rPr>
        <w:t xml:space="preserve"> – Reunião com as partes envolvidas, Codevasf e CONTRATADA, onde se definem todos os detalhes do plano de trabalho e dá-se o “start up” da execução das obras.</w:t>
      </w:r>
    </w:p>
    <w:p>
      <w:pPr>
        <w:pStyle w:val="Normal"/>
        <w:rPr>
          <w:szCs w:val="20"/>
        </w:rPr>
      </w:pPr>
      <w:r>
        <w:rPr>
          <w:szCs w:val="20"/>
        </w:rPr>
      </w:r>
    </w:p>
    <w:p>
      <w:pPr>
        <w:pStyle w:val="Normal"/>
        <w:rPr>
          <w:szCs w:val="20"/>
        </w:rPr>
      </w:pPr>
      <w:r>
        <w:rPr>
          <w:b/>
          <w:szCs w:val="20"/>
        </w:rPr>
        <w:t>SUPERINTENDÊNCIA REGIONAL</w:t>
      </w:r>
      <w:r>
        <w:rPr>
          <w:szCs w:val="20"/>
        </w:rPr>
        <w:t xml:space="preserve"> – Unidade executiva descentralizada subordinada diretamente à presidência da Codevasf, situada em Aracajú/SE, em cuja jurisdição territorial localizam-se os serviços de engenharia objeto deste Termo de Referência.</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9" w:name="_Toc401910395"/>
      <w:bookmarkStart w:id="10" w:name="_Toc514937645"/>
      <w:r>
        <w:rPr>
          <w:szCs w:val="20"/>
        </w:rPr>
        <w:t>REGIME DE EXECUÇÃO, VALOR ESTIMADO E CRITÉRIO DE JULGAMENTO</w:t>
      </w:r>
      <w:bookmarkEnd w:id="9"/>
      <w:bookmarkEnd w:id="10"/>
      <w:r>
        <w:rPr>
          <w:szCs w:val="20"/>
        </w:rPr>
        <w:t>.</w:t>
      </w:r>
    </w:p>
    <w:p>
      <w:pPr>
        <w:pStyle w:val="Normal"/>
        <w:rPr>
          <w:szCs w:val="20"/>
        </w:rPr>
      </w:pPr>
      <w:r>
        <w:rPr>
          <w:szCs w:val="20"/>
        </w:rPr>
      </w:r>
    </w:p>
    <w:p>
      <w:pPr>
        <w:pStyle w:val="Ttulo2"/>
        <w:numPr>
          <w:ilvl w:val="1"/>
          <w:numId w:val="2"/>
        </w:numPr>
        <w:rPr>
          <w:lang w:eastAsia="pt-BR"/>
        </w:rPr>
      </w:pPr>
      <w:bookmarkStart w:id="11" w:name="_Ref515976583"/>
      <w:r>
        <w:rPr/>
        <w:t xml:space="preserve">Regime de Execução: </w:t>
      </w:r>
      <w:r>
        <w:rPr>
          <w:b/>
        </w:rPr>
        <w:t>Empreitada por Preço Unitário</w:t>
      </w:r>
      <w:bookmarkEnd w:id="11"/>
      <w:r>
        <w:rPr/>
        <w:t>.</w:t>
      </w:r>
    </w:p>
    <w:p>
      <w:pPr>
        <w:pStyle w:val="Ttulo2"/>
        <w:numPr>
          <w:ilvl w:val="0"/>
          <w:numId w:val="0"/>
        </w:numPr>
        <w:ind w:left="709" w:hanging="0"/>
        <w:rPr/>
      </w:pPr>
      <w:r>
        <w:rPr/>
      </w:r>
    </w:p>
    <w:p>
      <w:pPr>
        <w:pStyle w:val="Ttulo2"/>
        <w:numPr>
          <w:ilvl w:val="1"/>
          <w:numId w:val="2"/>
        </w:numPr>
        <w:rPr/>
      </w:pPr>
      <w:r>
        <w:rPr/>
        <w:t xml:space="preserve">Valor estimado: </w:t>
      </w:r>
      <w:r>
        <w:rPr>
          <w:b/>
        </w:rPr>
        <w:t>Público</w:t>
      </w:r>
      <w:r>
        <w:rPr/>
        <w:t>.</w:t>
      </w:r>
    </w:p>
    <w:p>
      <w:pPr>
        <w:pStyle w:val="Ttulo2"/>
        <w:numPr>
          <w:ilvl w:val="0"/>
          <w:numId w:val="0"/>
        </w:numPr>
        <w:ind w:left="792" w:hanging="0"/>
        <w:rPr/>
      </w:pPr>
      <w:r>
        <w:rPr/>
      </w:r>
    </w:p>
    <w:p>
      <w:pPr>
        <w:pStyle w:val="Ttulo2"/>
        <w:numPr>
          <w:ilvl w:val="1"/>
          <w:numId w:val="2"/>
        </w:numPr>
        <w:rPr/>
      </w:pPr>
      <w:r>
        <w:rPr/>
        <w:t xml:space="preserve">Critério de Julgamento: </w:t>
      </w:r>
      <w:r>
        <w:rPr>
          <w:b/>
          <w:lang w:eastAsia="pt-BR"/>
        </w:rPr>
        <w:t>Maior Desconto</w:t>
      </w:r>
      <w:r>
        <w:rPr>
          <w:lang w:eastAsia="pt-BR"/>
        </w:rPr>
        <w:t>.</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12" w:name="_Toc514937646"/>
      <w:bookmarkEnd w:id="12"/>
      <w:r>
        <w:rPr>
          <w:szCs w:val="20"/>
        </w:rPr>
        <w:t>LOCALIZAÇÃO DO OBJETO</w:t>
      </w:r>
    </w:p>
    <w:p>
      <w:pPr>
        <w:pStyle w:val="Normal"/>
        <w:rPr>
          <w:szCs w:val="20"/>
        </w:rPr>
      </w:pPr>
      <w:r>
        <w:rPr>
          <w:szCs w:val="20"/>
        </w:rPr>
      </w:r>
    </w:p>
    <w:p>
      <w:pPr>
        <w:pStyle w:val="Ttulo2"/>
        <w:numPr>
          <w:ilvl w:val="1"/>
          <w:numId w:val="2"/>
        </w:numPr>
        <w:rPr/>
      </w:pPr>
      <w:r>
        <w:rPr/>
        <w:t>Os serviços serão executados no município de Malhada dos Bois, distante aproximadamente 83,5 km de Aracajú, capital do Estado de Sergipe na área sob jurisdição da 4ª Superintendência Regional da Codevasf:</w:t>
      </w:r>
    </w:p>
    <w:p>
      <w:pPr>
        <w:pStyle w:val="Normal"/>
        <w:rPr>
          <w:szCs w:val="20"/>
        </w:rPr>
      </w:pPr>
      <w:r>
        <w:rPr>
          <w:szCs w:val="20"/>
        </w:rPr>
      </w:r>
    </w:p>
    <w:p>
      <w:pPr>
        <w:pStyle w:val="Ttulo2"/>
        <w:numPr>
          <w:ilvl w:val="0"/>
          <w:numId w:val="0"/>
        </w:numPr>
        <w:ind w:left="792" w:hanging="0"/>
        <w:rPr/>
      </w:pPr>
      <w:r>
        <w:rPr/>
        <w:t>Acesso: BR-101</w:t>
      </w:r>
    </w:p>
    <w:p>
      <w:pPr>
        <w:pStyle w:val="Ttulo2"/>
        <w:numPr>
          <w:ilvl w:val="0"/>
          <w:numId w:val="0"/>
        </w:numPr>
        <w:ind w:left="792" w:hanging="0"/>
        <w:rPr/>
      </w:pPr>
      <w:r>
        <w:rPr/>
        <w:t>Coordenadas do ponto de captação e lançamento: UTM DATUM WGS 84 X=728320, Y=8855647 Zona 24L</w:t>
      </w:r>
    </w:p>
    <w:p>
      <w:pPr>
        <w:pStyle w:val="Normal"/>
        <w:ind w:left="851" w:hanging="0"/>
        <w:rPr>
          <w:szCs w:val="20"/>
        </w:rPr>
      </w:pPr>
      <w:r>
        <w:rPr>
          <w:szCs w:val="20"/>
        </w:rPr>
      </w:r>
    </w:p>
    <w:p>
      <w:pPr>
        <w:pStyle w:val="Normal"/>
        <w:ind w:left="851" w:hanging="0"/>
        <w:rPr>
          <w:szCs w:val="20"/>
        </w:rPr>
      </w:pPr>
      <w:r>
        <w:rPr/>
        <w:drawing>
          <wp:inline distT="0" distB="0" distL="0" distR="0">
            <wp:extent cx="5240020" cy="4691380"/>
            <wp:effectExtent l="0" t="0" r="0" b="0"/>
            <wp:docPr id="1"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descr=""/>
                    <pic:cNvPicPr>
                      <a:picLocks noChangeAspect="1" noChangeArrowheads="1"/>
                    </pic:cNvPicPr>
                  </pic:nvPicPr>
                  <pic:blipFill>
                    <a:blip r:embed="rId2"/>
                    <a:stretch>
                      <a:fillRect/>
                    </a:stretch>
                  </pic:blipFill>
                  <pic:spPr bwMode="auto">
                    <a:xfrm>
                      <a:off x="0" y="0"/>
                      <a:ext cx="5240020" cy="4691380"/>
                    </a:xfrm>
                    <a:prstGeom prst="rect">
                      <a:avLst/>
                    </a:prstGeom>
                  </pic:spPr>
                </pic:pic>
              </a:graphicData>
            </a:graphic>
          </wp:inline>
        </w:drawing>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13" w:name="_Toc514937647"/>
      <w:bookmarkEnd w:id="13"/>
      <w:r>
        <w:rPr>
          <w:szCs w:val="20"/>
        </w:rPr>
        <w:t>DESCRIÇÃO DOS SERVIÇOS</w:t>
      </w:r>
    </w:p>
    <w:p>
      <w:pPr>
        <w:pStyle w:val="Normal"/>
        <w:rPr>
          <w:szCs w:val="20"/>
        </w:rPr>
      </w:pPr>
      <w:r>
        <w:rPr>
          <w:szCs w:val="20"/>
        </w:rPr>
      </w:r>
    </w:p>
    <w:p>
      <w:pPr>
        <w:pStyle w:val="Ttulo2"/>
        <w:numPr>
          <w:ilvl w:val="1"/>
          <w:numId w:val="2"/>
        </w:numPr>
        <w:rPr/>
      </w:pPr>
      <w:r>
        <w:rPr/>
        <w:t>As obras e serviços de engenharia objeto desta licitação encontram-se descritos e caracterizados no Projeto Básico, Desenhos e Especificações Técnicas e quantificados na Planilha de Custos do Valor do Orçamento de Referência, que integram este Termo de Referência (</w:t>
      </w:r>
      <w:r>
        <w:rPr/>
        <w:fldChar w:fldCharType="begin"/>
      </w:r>
      <w:r>
        <w:instrText> REF _Ref450205759 \h </w:instrText>
      </w:r>
      <w:r>
        <w:fldChar w:fldCharType="separate"/>
      </w:r>
      <w:r>
        <w:t>Anexo IV</w:t>
      </w:r>
      <w:r>
        <w:fldChar w:fldCharType="end"/>
      </w:r>
      <w:r>
        <w:rPr/>
        <w:t xml:space="preserve"> e </w:t>
      </w:r>
      <w:r>
        <w:rPr/>
        <w:fldChar w:fldCharType="begin"/>
      </w:r>
      <w:r>
        <w:instrText> REF _Ref450205763 \h </w:instrText>
      </w:r>
      <w:r>
        <w:fldChar w:fldCharType="separate"/>
      </w:r>
      <w:r>
        <w:t>Anexo VI</w:t>
      </w:r>
      <w:r>
        <w:fldChar w:fldCharType="end"/>
      </w:r>
      <w:r>
        <w:rPr/>
        <w:t>).</w:t>
      </w:r>
    </w:p>
    <w:p>
      <w:pPr>
        <w:pStyle w:val="Normal"/>
        <w:rPr>
          <w:szCs w:val="20"/>
        </w:rPr>
      </w:pPr>
      <w:r>
        <w:rPr>
          <w:szCs w:val="20"/>
        </w:rPr>
      </w:r>
    </w:p>
    <w:p>
      <w:pPr>
        <w:pStyle w:val="Ttulo2"/>
        <w:numPr>
          <w:ilvl w:val="1"/>
          <w:numId w:val="2"/>
        </w:numPr>
        <w:rPr/>
      </w:pPr>
      <w:r>
        <w:rPr/>
        <w:t>O objeto do presente certame licitatório compreende basicamente os seguintes serviços:</w:t>
      </w:r>
    </w:p>
    <w:p>
      <w:pPr>
        <w:pStyle w:val="Normal"/>
        <w:ind w:left="282" w:hanging="0"/>
        <w:rPr>
          <w:szCs w:val="20"/>
        </w:rPr>
      </w:pPr>
      <w:r>
        <w:rPr>
          <w:szCs w:val="20"/>
        </w:rPr>
      </w:r>
    </w:p>
    <w:p>
      <w:pPr>
        <w:pStyle w:val="ListParagraph"/>
        <w:numPr>
          <w:ilvl w:val="0"/>
          <w:numId w:val="15"/>
        </w:numPr>
        <w:rPr>
          <w:szCs w:val="20"/>
        </w:rPr>
      </w:pPr>
      <w:r>
        <w:rPr>
          <w:szCs w:val="20"/>
        </w:rPr>
        <w:t>Serviços Preliminares/Administração da Obra;</w:t>
      </w:r>
    </w:p>
    <w:p>
      <w:pPr>
        <w:pStyle w:val="ListParagraph"/>
        <w:numPr>
          <w:ilvl w:val="0"/>
          <w:numId w:val="15"/>
        </w:numPr>
        <w:rPr>
          <w:szCs w:val="20"/>
        </w:rPr>
      </w:pPr>
      <w:r>
        <w:rPr>
          <w:szCs w:val="20"/>
        </w:rPr>
        <w:t>Rede Coletora e Ramais de Esgoto;</w:t>
      </w:r>
    </w:p>
    <w:p>
      <w:pPr>
        <w:pStyle w:val="ListParagraph"/>
        <w:numPr>
          <w:ilvl w:val="0"/>
          <w:numId w:val="15"/>
        </w:numPr>
        <w:rPr>
          <w:szCs w:val="20"/>
        </w:rPr>
      </w:pPr>
      <w:r>
        <w:rPr>
          <w:szCs w:val="20"/>
        </w:rPr>
        <w:t>Estações Elevatórias de Esgoto;</w:t>
      </w:r>
    </w:p>
    <w:p>
      <w:pPr>
        <w:pStyle w:val="ListParagraph"/>
        <w:numPr>
          <w:ilvl w:val="0"/>
          <w:numId w:val="15"/>
        </w:numPr>
        <w:rPr>
          <w:szCs w:val="20"/>
        </w:rPr>
      </w:pPr>
      <w:r>
        <w:rPr>
          <w:szCs w:val="20"/>
        </w:rPr>
        <w:t>Emissários;</w:t>
      </w:r>
    </w:p>
    <w:p>
      <w:pPr>
        <w:pStyle w:val="ListParagraph"/>
        <w:numPr>
          <w:ilvl w:val="0"/>
          <w:numId w:val="15"/>
        </w:numPr>
        <w:rPr>
          <w:szCs w:val="20"/>
        </w:rPr>
      </w:pPr>
      <w:r>
        <w:rPr>
          <w:szCs w:val="20"/>
        </w:rPr>
        <w:t>Estação de Tratamento de Esgoto;</w:t>
      </w:r>
    </w:p>
    <w:p>
      <w:pPr>
        <w:pStyle w:val="ListParagraph"/>
        <w:numPr>
          <w:ilvl w:val="0"/>
          <w:numId w:val="15"/>
        </w:numPr>
        <w:rPr>
          <w:szCs w:val="20"/>
        </w:rPr>
      </w:pPr>
      <w:r>
        <w:rPr>
          <w:szCs w:val="20"/>
        </w:rPr>
        <w:t>Casa do Operador e Urbanização</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14" w:name="_Toc514937648"/>
      <w:bookmarkEnd w:id="14"/>
      <w:r>
        <w:rPr>
          <w:szCs w:val="20"/>
        </w:rPr>
        <w:t>CONDIÇÕES DE PARTICIPAÇÃO</w:t>
      </w:r>
    </w:p>
    <w:p>
      <w:pPr>
        <w:pStyle w:val="Normal"/>
        <w:rPr>
          <w:szCs w:val="20"/>
        </w:rPr>
      </w:pPr>
      <w:r>
        <w:rPr>
          <w:szCs w:val="20"/>
        </w:rPr>
      </w:r>
    </w:p>
    <w:p>
      <w:pPr>
        <w:pStyle w:val="Ttulo2"/>
        <w:numPr>
          <w:ilvl w:val="1"/>
          <w:numId w:val="31"/>
        </w:numPr>
        <w:rPr/>
      </w:pPr>
      <w:bookmarkStart w:id="15" w:name="_Ref449450707"/>
      <w:bookmarkEnd w:id="15"/>
      <w:r>
        <w:rPr/>
        <w:t>Poderão participar da presente licitação empresas do ramo, pertinente e compatível com o objeto desta licitação, individuais, que atendam as exigências do TR e seus anexos.</w:t>
      </w:r>
    </w:p>
    <w:p>
      <w:pPr>
        <w:pStyle w:val="Ttulo2"/>
        <w:numPr>
          <w:ilvl w:val="0"/>
          <w:numId w:val="0"/>
        </w:numPr>
        <w:ind w:left="426" w:hanging="0"/>
        <w:rPr/>
      </w:pPr>
      <w:r>
        <w:rPr/>
      </w:r>
    </w:p>
    <w:p>
      <w:pPr>
        <w:pStyle w:val="Normal"/>
        <w:rPr>
          <w:szCs w:val="20"/>
        </w:rPr>
      </w:pPr>
      <w:r>
        <w:rPr>
          <w:szCs w:val="20"/>
        </w:rPr>
      </w:r>
    </w:p>
    <w:p>
      <w:pPr>
        <w:pStyle w:val="Ttulo2"/>
        <w:numPr>
          <w:ilvl w:val="1"/>
          <w:numId w:val="2"/>
        </w:numPr>
        <w:rPr/>
      </w:pPr>
      <w:bookmarkStart w:id="16" w:name="_Ref449450707"/>
      <w:bookmarkStart w:id="17" w:name="_Ref441152334"/>
      <w:bookmarkEnd w:id="16"/>
      <w:r>
        <w:rPr/>
        <w:t>CONSÓRCIO</w:t>
      </w:r>
    </w:p>
    <w:p>
      <w:pPr>
        <w:pStyle w:val="Normal"/>
        <w:ind w:left="709" w:hanging="0"/>
        <w:rPr>
          <w:b/>
          <w:b/>
          <w:szCs w:val="20"/>
        </w:rPr>
      </w:pPr>
      <w:r>
        <w:rPr>
          <w:b/>
          <w:szCs w:val="20"/>
        </w:rPr>
      </w:r>
    </w:p>
    <w:p>
      <w:pPr>
        <w:pStyle w:val="Ttulo3"/>
        <w:numPr>
          <w:ilvl w:val="2"/>
          <w:numId w:val="31"/>
        </w:numPr>
        <w:rPr/>
      </w:pPr>
      <w:r>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a privar a participação de empresas consideradas do ramo para execução do presente objeto.</w:t>
      </w:r>
    </w:p>
    <w:p>
      <w:pPr>
        <w:pStyle w:val="Normal"/>
        <w:rPr>
          <w:szCs w:val="20"/>
        </w:rPr>
      </w:pPr>
      <w:r>
        <w:rPr>
          <w:szCs w:val="20"/>
        </w:rPr>
      </w:r>
    </w:p>
    <w:p>
      <w:pPr>
        <w:pStyle w:val="Normal"/>
        <w:rPr>
          <w:szCs w:val="20"/>
          <w:lang w:eastAsia="pt-BR"/>
        </w:rPr>
      </w:pPr>
      <w:r>
        <w:rPr>
          <w:szCs w:val="20"/>
          <w:lang w:eastAsia="pt-BR"/>
        </w:rPr>
      </w:r>
    </w:p>
    <w:p>
      <w:pPr>
        <w:pStyle w:val="Ttulo2"/>
        <w:numPr>
          <w:ilvl w:val="1"/>
          <w:numId w:val="2"/>
        </w:numPr>
        <w:rPr/>
      </w:pPr>
      <w:bookmarkStart w:id="18" w:name="_Ref441152334"/>
      <w:bookmarkStart w:id="19" w:name="_Ref455652949"/>
      <w:bookmarkEnd w:id="18"/>
      <w:bookmarkEnd w:id="19"/>
      <w:r>
        <w:rPr/>
        <w:t>SUBCONTRATAÇÃO</w:t>
      </w:r>
    </w:p>
    <w:p>
      <w:pPr>
        <w:pStyle w:val="Normal"/>
        <w:tabs>
          <w:tab w:val="left" w:pos="1605" w:leader="none"/>
        </w:tabs>
        <w:rPr>
          <w:szCs w:val="20"/>
        </w:rPr>
      </w:pPr>
      <w:r>
        <w:rPr>
          <w:szCs w:val="20"/>
        </w:rPr>
      </w:r>
    </w:p>
    <w:p>
      <w:pPr>
        <w:pStyle w:val="Normal"/>
        <w:rPr>
          <w:szCs w:val="20"/>
        </w:rPr>
      </w:pPr>
      <w:r>
        <w:rPr>
          <w:szCs w:val="20"/>
        </w:rPr>
      </w:r>
    </w:p>
    <w:p>
      <w:pPr>
        <w:pStyle w:val="Ttulo3"/>
        <w:numPr>
          <w:ilvl w:val="2"/>
          <w:numId w:val="2"/>
        </w:numPr>
        <w:rPr/>
      </w:pPr>
      <w:r>
        <w:rPr/>
        <w:t>Será permitida a subcontratação dos serviços objeto deste TR, com anuência prévia da Codevasf, aqueles que possam ser entendidos como atividades auxiliares, tais como: serviços topográficos e controle tecnológico.</w:t>
      </w:r>
    </w:p>
    <w:p>
      <w:pPr>
        <w:pStyle w:val="Normal"/>
        <w:rPr>
          <w:szCs w:val="20"/>
        </w:rPr>
      </w:pPr>
      <w:r>
        <w:rPr>
          <w:szCs w:val="20"/>
        </w:rPr>
      </w:r>
    </w:p>
    <w:p>
      <w:pPr>
        <w:pStyle w:val="Ttulo2"/>
        <w:numPr>
          <w:ilvl w:val="1"/>
          <w:numId w:val="2"/>
        </w:numPr>
        <w:rPr/>
      </w:pPr>
      <w:r>
        <w:rPr/>
        <w:t>VISITA AO LOCAL DAS OBRAS</w:t>
      </w:r>
    </w:p>
    <w:p>
      <w:pPr>
        <w:pStyle w:val="Normal"/>
        <w:rPr>
          <w:szCs w:val="20"/>
        </w:rPr>
      </w:pPr>
      <w:r>
        <w:rPr>
          <w:szCs w:val="20"/>
        </w:rPr>
      </w:r>
    </w:p>
    <w:p>
      <w:pPr>
        <w:pStyle w:val="Ttulo3"/>
        <w:numPr>
          <w:ilvl w:val="2"/>
          <w:numId w:val="2"/>
        </w:numPr>
        <w:rPr/>
      </w:pPr>
      <w:r>
        <w:rPr/>
        <w:t xml:space="preserve">A visita aos locais de prestação dos serviços </w:t>
      </w:r>
      <w:r>
        <w:rPr>
          <w:b/>
          <w:u w:val="single"/>
        </w:rPr>
        <w:t>NÃO será obrigatória</w:t>
      </w:r>
      <w:r>
        <w:rPr/>
        <w:t>, porém, recomenda-se aos licitantes que seja realizada a visita aos locais onde serão executados os serviços e suas circunvizinhanças, por intermédio de pelo menos um engenheiro civil,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pPr>
        <w:pStyle w:val="Normal"/>
        <w:rPr>
          <w:szCs w:val="20"/>
        </w:rPr>
      </w:pPr>
      <w:r>
        <w:rPr>
          <w:szCs w:val="20"/>
        </w:rPr>
      </w:r>
    </w:p>
    <w:p>
      <w:pPr>
        <w:pStyle w:val="Ttulo3"/>
        <w:numPr>
          <w:ilvl w:val="2"/>
          <w:numId w:val="2"/>
        </w:numPr>
        <w:rPr/>
      </w:pPr>
      <w:r>
        <w:rPr/>
        <w:t>É de inteira responsabilidade do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pPr>
        <w:pStyle w:val="Ttulo2"/>
        <w:numPr>
          <w:ilvl w:val="0"/>
          <w:numId w:val="0"/>
        </w:numPr>
        <w:ind w:left="426" w:hanging="0"/>
        <w:rPr/>
      </w:pPr>
      <w:r>
        <w:rPr/>
      </w:r>
    </w:p>
    <w:p>
      <w:pPr>
        <w:pStyle w:val="Ttulo3"/>
        <w:numPr>
          <w:ilvl w:val="2"/>
          <w:numId w:val="2"/>
        </w:numPr>
        <w:rPr/>
      </w:pPr>
      <w:r>
        <w:rPr/>
        <w:t>Os custos de visita aos locais das obras e serviços de engenharia correrão por exclusiva conta do licitante.</w:t>
      </w:r>
    </w:p>
    <w:p>
      <w:pPr>
        <w:pStyle w:val="Ttulo2"/>
        <w:numPr>
          <w:ilvl w:val="0"/>
          <w:numId w:val="0"/>
        </w:numPr>
        <w:ind w:left="426" w:hanging="0"/>
        <w:rPr/>
      </w:pPr>
      <w:r>
        <w:rPr/>
      </w:r>
    </w:p>
    <w:p>
      <w:pPr>
        <w:pStyle w:val="Ttulo3"/>
        <w:numPr>
          <w:ilvl w:val="2"/>
          <w:numId w:val="32"/>
        </w:numPr>
        <w:rPr/>
      </w:pPr>
      <w:r>
        <w:rPr/>
        <w:t>Em caso de dúvidas sobre a visita ao local onde serão executadas as obras e serviços de engenharia, os licitantes deverão contatar com a Gerência Regional de Revitalização das Bacias Hidrográficas da Codevasf, em Aracajú no estado de Sergipe, nos telefones: (79) 3194-4272, (79) 3194-4270, (79) 3194-4224.</w:t>
      </w:r>
    </w:p>
    <w:p>
      <w:pPr>
        <w:pStyle w:val="Ttulo3"/>
        <w:numPr>
          <w:ilvl w:val="0"/>
          <w:numId w:val="0"/>
        </w:numPr>
        <w:ind w:left="426" w:hanging="0"/>
        <w:rPr/>
      </w:pPr>
      <w:r>
        <w:rPr/>
      </w:r>
    </w:p>
    <w:p>
      <w:pPr>
        <w:pStyle w:val="Ttulo3"/>
        <w:numPr>
          <w:ilvl w:val="2"/>
          <w:numId w:val="2"/>
        </w:numPr>
        <w:rPr/>
      </w:pPr>
      <w:bookmarkStart w:id="20" w:name="_Ref441155895"/>
      <w:r>
        <w:rPr/>
        <w:t xml:space="preserve">A declaração de que conhece o local onde serão executados as obras/serviços e suas circunvizinhanças será obrigatoriamente emitida pela empresa licitante (Modelo de Declaração – </w:t>
      </w:r>
      <w:r>
        <w:rPr/>
        <w:fldChar w:fldCharType="begin"/>
      </w:r>
      <w:r>
        <w:instrText> REF _Ref450205804 \h </w:instrText>
      </w:r>
      <w:r>
        <w:fldChar w:fldCharType="separate"/>
      </w:r>
      <w:r>
        <w:t>Anexo II</w:t>
      </w:r>
      <w:r>
        <w:fldChar w:fldCharType="end"/>
      </w:r>
      <w:bookmarkEnd w:id="20"/>
      <w:r>
        <w:rPr/>
        <w:t xml:space="preserve"> deste TR), através dos seus prepostos.</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21" w:name="_Toc514937649"/>
      <w:bookmarkEnd w:id="21"/>
      <w:r>
        <w:rPr>
          <w:szCs w:val="20"/>
        </w:rPr>
        <w:t>PROPOSTA</w:t>
      </w:r>
    </w:p>
    <w:p>
      <w:pPr>
        <w:pStyle w:val="Normal"/>
        <w:rPr>
          <w:szCs w:val="20"/>
        </w:rPr>
      </w:pPr>
      <w:r>
        <w:rPr>
          <w:szCs w:val="20"/>
        </w:rPr>
      </w:r>
    </w:p>
    <w:p>
      <w:pPr>
        <w:pStyle w:val="Ttulo2"/>
        <w:numPr>
          <w:ilvl w:val="1"/>
          <w:numId w:val="2"/>
        </w:numPr>
        <w:rPr/>
      </w:pPr>
      <w:r>
        <w:rPr/>
        <w:t>A Proposta de Preço deverá ser firme e precisa, limitada rigorosamente ao objeto desta licitação, e não poderá conter condições ou alternativas não previstas neste TR e seus anexos constitutivos.</w:t>
      </w:r>
    </w:p>
    <w:p>
      <w:pPr>
        <w:pStyle w:val="Normal"/>
        <w:rPr>
          <w:szCs w:val="20"/>
        </w:rPr>
      </w:pPr>
      <w:r>
        <w:rPr>
          <w:szCs w:val="20"/>
        </w:rPr>
      </w:r>
    </w:p>
    <w:p>
      <w:pPr>
        <w:pStyle w:val="Ttulo2"/>
        <w:numPr>
          <w:ilvl w:val="1"/>
          <w:numId w:val="2"/>
        </w:numPr>
        <w:rPr/>
      </w:pPr>
      <w:r>
        <w:rPr/>
        <w:t>A Proposta constitui-se dos seguintes documentos:</w:t>
      </w:r>
    </w:p>
    <w:p>
      <w:pPr>
        <w:pStyle w:val="Normal"/>
        <w:rPr>
          <w:szCs w:val="20"/>
        </w:rPr>
      </w:pPr>
      <w:r>
        <w:rPr>
          <w:szCs w:val="20"/>
        </w:rPr>
      </w:r>
    </w:p>
    <w:p>
      <w:pPr>
        <w:pStyle w:val="ListParagraph"/>
        <w:numPr>
          <w:ilvl w:val="0"/>
          <w:numId w:val="18"/>
        </w:numPr>
        <w:rPr/>
      </w:pPr>
      <w:r>
        <w:rPr>
          <w:szCs w:val="20"/>
        </w:rPr>
        <w:t xml:space="preserve">Planilha de Custos do Valor da Proposta do Licitante com todos os seus itens, devidamente preenchida, com clareza e sem rasuras, conforme a Planilha de Custos do Valor do Orçamento de Referência – </w:t>
      </w:r>
      <w:r>
        <w:rPr>
          <w:szCs w:val="20"/>
        </w:rPr>
        <w:fldChar w:fldCharType="begin"/>
      </w:r>
      <w:r>
        <w:instrText> REF _Ref450205763 \h </w:instrText>
      </w:r>
      <w:r>
        <w:fldChar w:fldCharType="separate"/>
      </w:r>
      <w:r>
        <w:t>Anexo VI</w:t>
      </w:r>
      <w:r>
        <w:fldChar w:fldCharType="end"/>
      </w:r>
      <w:r>
        <w:rPr>
          <w:szCs w:val="20"/>
        </w:rPr>
        <w:t>, que é parte integrante deste Termo de Referência, observando-se os preços unitários orçados pela Codevasf, nos quais incidirá linearmente o percentual de desconto ofertado pelo licitante, conforme inciso II, § 4º do art. 54 da Lei nº 13.303/16, de 30/06/2016.</w:t>
      </w:r>
    </w:p>
    <w:p>
      <w:pPr>
        <w:pStyle w:val="Normal"/>
        <w:ind w:left="782" w:hanging="357"/>
        <w:rPr>
          <w:szCs w:val="20"/>
        </w:rPr>
      </w:pPr>
      <w:r>
        <w:rPr>
          <w:szCs w:val="20"/>
        </w:rPr>
      </w:r>
    </w:p>
    <w:p>
      <w:pPr>
        <w:pStyle w:val="ListParagraph"/>
        <w:numPr>
          <w:ilvl w:val="0"/>
          <w:numId w:val="29"/>
        </w:numPr>
        <w:rPr>
          <w:szCs w:val="20"/>
        </w:rPr>
      </w:pPr>
      <w:r>
        <w:rPr>
          <w:szCs w:val="20"/>
        </w:rPr>
        <w:t>Junto com a proposta, a Planilha de Custos do Valor da Proposta do Licitante deverá ser apresentada em meio eletrônico (Microsoft Excel ou software livre), sem proteção do arquivo, objetivando facilitar a conferência da mesma.</w:t>
      </w:r>
    </w:p>
    <w:p>
      <w:pPr>
        <w:pStyle w:val="Normal"/>
        <w:ind w:left="782" w:hanging="357"/>
        <w:rPr>
          <w:szCs w:val="20"/>
        </w:rPr>
      </w:pPr>
      <w:r>
        <w:rPr>
          <w:szCs w:val="20"/>
        </w:rPr>
      </w:r>
    </w:p>
    <w:p>
      <w:pPr>
        <w:pStyle w:val="ListParagraph"/>
        <w:numPr>
          <w:ilvl w:val="0"/>
          <w:numId w:val="29"/>
        </w:numPr>
        <w:rPr>
          <w:szCs w:val="20"/>
        </w:rPr>
      </w:pPr>
      <w:r>
        <w:rPr>
          <w:szCs w:val="20"/>
        </w:rPr>
        <w:t>A Planilha de Custos do Valor da Proposta do Licitante deverá ser preenchida e assinada por profissional competente, conforme os arts. 13 e 14 da Lei 5194/1966.</w:t>
      </w:r>
    </w:p>
    <w:p>
      <w:pPr>
        <w:pStyle w:val="Normal"/>
        <w:ind w:left="782" w:hanging="357"/>
        <w:rPr>
          <w:szCs w:val="20"/>
        </w:rPr>
      </w:pPr>
      <w:r>
        <w:rPr>
          <w:szCs w:val="20"/>
        </w:rPr>
      </w:r>
    </w:p>
    <w:p>
      <w:pPr>
        <w:pStyle w:val="ListParagraph"/>
        <w:numPr>
          <w:ilvl w:val="0"/>
          <w:numId w:val="29"/>
        </w:numPr>
        <w:rPr>
          <w:szCs w:val="20"/>
        </w:rPr>
      </w:pPr>
      <w:r>
        <w:rPr>
          <w:szCs w:val="20"/>
        </w:rPr>
        <w:t>Não poderão ser apresentados preços unitários diferenciados para um mesmo serviço.</w:t>
      </w:r>
    </w:p>
    <w:p>
      <w:pPr>
        <w:pStyle w:val="Normal"/>
        <w:rPr>
          <w:szCs w:val="20"/>
        </w:rPr>
      </w:pPr>
      <w:r>
        <w:rPr>
          <w:szCs w:val="20"/>
        </w:rPr>
      </w:r>
    </w:p>
    <w:p>
      <w:pPr>
        <w:pStyle w:val="ListParagraph"/>
        <w:numPr>
          <w:ilvl w:val="0"/>
          <w:numId w:val="29"/>
        </w:numPr>
        <w:rPr>
          <w:szCs w:val="20"/>
        </w:rPr>
      </w:pPr>
      <w:r>
        <w:rPr>
          <w:szCs w:val="20"/>
        </w:rPr>
        <w:t>O licitante de melhor proposta classificada deverá preencher os formulários de composição de preços unitários, em formulário próprio, ofertados por item e subitem, com clareza e sem rasuras, vedada a utilização de unidades genéricas ou indicadas como verba.</w:t>
      </w:r>
    </w:p>
    <w:p>
      <w:pPr>
        <w:pStyle w:val="Normal"/>
        <w:rPr>
          <w:szCs w:val="20"/>
        </w:rPr>
      </w:pPr>
      <w:r>
        <w:rPr>
          <w:szCs w:val="20"/>
        </w:rPr>
      </w:r>
    </w:p>
    <w:p>
      <w:pPr>
        <w:pStyle w:val="ListParagraph"/>
        <w:numPr>
          <w:ilvl w:val="0"/>
          <w:numId w:val="8"/>
        </w:numPr>
        <w:rPr>
          <w:szCs w:val="20"/>
        </w:rPr>
      </w:pPr>
      <w:r>
        <w:rPr>
          <w:szCs w:val="20"/>
        </w:rPr>
        <w:t>A planilha de composição de preços unitários deverá ser apresentada também em meio eletrônico (Microsoft Excel ou software livre), sem proteção do arquivo, objetivando facilitar a conferência da mesma;</w:t>
      </w:r>
    </w:p>
    <w:p>
      <w:pPr>
        <w:pStyle w:val="ListParagraph"/>
        <w:numPr>
          <w:ilvl w:val="0"/>
          <w:numId w:val="8"/>
        </w:numPr>
        <w:rPr>
          <w:szCs w:val="20"/>
        </w:rPr>
      </w:pPr>
      <w:r>
        <w:rPr>
          <w:szCs w:val="20"/>
        </w:rPr>
        <w:t>O licitante deverá apresentar a planilha de composição de preços unitários em conformidade com a Planilha de Custos do Valor da Proposta do Licitante;</w:t>
      </w:r>
    </w:p>
    <w:p>
      <w:pPr>
        <w:pStyle w:val="ListParagraph"/>
        <w:numPr>
          <w:ilvl w:val="0"/>
          <w:numId w:val="8"/>
        </w:numPr>
        <w:rPr>
          <w:szCs w:val="20"/>
        </w:rPr>
      </w:pPr>
      <w:r>
        <w:rPr>
          <w:szCs w:val="20"/>
        </w:rPr>
        <w:t>O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pPr>
        <w:pStyle w:val="ListParagraph"/>
        <w:numPr>
          <w:ilvl w:val="0"/>
          <w:numId w:val="8"/>
        </w:numPr>
        <w:rPr>
          <w:szCs w:val="20"/>
        </w:rPr>
      </w:pPr>
      <w:r>
        <w:rPr>
          <w:szCs w:val="20"/>
        </w:rPr>
        <w:t>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w:t>
      </w:r>
      <w:r>
        <w:rPr>
          <w:b/>
          <w:szCs w:val="20"/>
        </w:rPr>
        <w:t xml:space="preserve"> </w:t>
      </w:r>
    </w:p>
    <w:p>
      <w:pPr>
        <w:pStyle w:val="ListParagraph"/>
        <w:numPr>
          <w:ilvl w:val="0"/>
          <w:numId w:val="8"/>
        </w:numPr>
        <w:rPr>
          <w:szCs w:val="20"/>
        </w:rPr>
      </w:pPr>
      <w:r>
        <w:rPr>
          <w:szCs w:val="20"/>
        </w:rPr>
        <w:t>As composições de custos unitários poderão ser verificadas quanto à adequação ao projeto, cabendo à comissão solicitar a compatibilidade da composição de custo unitário ao projeto.</w:t>
      </w:r>
    </w:p>
    <w:p>
      <w:pPr>
        <w:pStyle w:val="Normal"/>
        <w:rPr>
          <w:szCs w:val="20"/>
        </w:rPr>
      </w:pPr>
      <w:r>
        <w:rPr>
          <w:szCs w:val="20"/>
        </w:rPr>
      </w:r>
    </w:p>
    <w:p>
      <w:pPr>
        <w:pStyle w:val="ListParagraph"/>
        <w:numPr>
          <w:ilvl w:val="0"/>
          <w:numId w:val="29"/>
        </w:numPr>
        <w:rPr/>
      </w:pPr>
      <w:r>
        <w:rPr>
          <w:szCs w:val="20"/>
        </w:rPr>
        <w:t xml:space="preserve">Detalhamento dos Encargos Sociais (Quadro PO-XIV) – </w:t>
      </w:r>
      <w:r>
        <w:rPr>
          <w:szCs w:val="20"/>
        </w:rPr>
        <w:fldChar w:fldCharType="begin"/>
      </w:r>
      <w:r>
        <w:instrText> REF _Ref450206017 \h </w:instrText>
      </w:r>
      <w:r>
        <w:fldChar w:fldCharType="separate"/>
      </w:r>
      <w:r>
        <w:t>Anexo III</w:t>
      </w:r>
      <w:r>
        <w:fldChar w:fldCharType="end"/>
      </w:r>
      <w:r>
        <w:rPr>
          <w:szCs w:val="20"/>
        </w:rPr>
        <w:t>.</w:t>
      </w:r>
    </w:p>
    <w:p>
      <w:pPr>
        <w:pStyle w:val="Normal"/>
        <w:rPr>
          <w:szCs w:val="20"/>
        </w:rPr>
      </w:pPr>
      <w:r>
        <w:rPr>
          <w:szCs w:val="20"/>
        </w:rPr>
      </w:r>
    </w:p>
    <w:p>
      <w:pPr>
        <w:pStyle w:val="ListParagraph"/>
        <w:numPr>
          <w:ilvl w:val="0"/>
          <w:numId w:val="6"/>
        </w:numPr>
        <w:rPr>
          <w:szCs w:val="20"/>
        </w:rPr>
      </w:pPr>
      <w:r>
        <w:rPr>
          <w:szCs w:val="20"/>
        </w:rPr>
        <w:t>Encargos Sociais distintos para mensalistas e outro para horista.</w:t>
      </w:r>
    </w:p>
    <w:p>
      <w:pPr>
        <w:pStyle w:val="Normal"/>
        <w:rPr>
          <w:szCs w:val="20"/>
        </w:rPr>
      </w:pPr>
      <w:r>
        <w:rPr>
          <w:szCs w:val="20"/>
        </w:rPr>
      </w:r>
    </w:p>
    <w:p>
      <w:pPr>
        <w:pStyle w:val="ListParagraph"/>
        <w:numPr>
          <w:ilvl w:val="0"/>
          <w:numId w:val="29"/>
        </w:numPr>
        <w:rPr/>
      </w:pPr>
      <w:r>
        <w:rPr>
          <w:szCs w:val="20"/>
        </w:rPr>
        <w:t xml:space="preserve">Detalhamento do BDI (Quadros PO-XV) – </w:t>
      </w:r>
      <w:r>
        <w:rPr>
          <w:szCs w:val="20"/>
        </w:rPr>
        <w:fldChar w:fldCharType="begin"/>
      </w:r>
      <w:r>
        <w:instrText> REF _Ref450206017 \h </w:instrText>
      </w:r>
      <w:r>
        <w:fldChar w:fldCharType="separate"/>
      </w:r>
      <w:r>
        <w:t>Anexo III</w:t>
      </w:r>
      <w:r>
        <w:fldChar w:fldCharType="end"/>
      </w:r>
      <w:r>
        <w:rPr>
          <w:szCs w:val="20"/>
        </w:rPr>
        <w:t>.</w:t>
      </w:r>
    </w:p>
    <w:p>
      <w:pPr>
        <w:pStyle w:val="Normal"/>
        <w:rPr>
          <w:szCs w:val="20"/>
        </w:rPr>
      </w:pPr>
      <w:r>
        <w:rPr>
          <w:szCs w:val="20"/>
        </w:rPr>
      </w:r>
    </w:p>
    <w:p>
      <w:pPr>
        <w:pStyle w:val="ListParagraph"/>
        <w:numPr>
          <w:ilvl w:val="0"/>
          <w:numId w:val="7"/>
        </w:numPr>
        <w:rPr>
          <w:szCs w:val="20"/>
        </w:rPr>
      </w:pPr>
      <w:r>
        <w:rPr>
          <w:szCs w:val="20"/>
        </w:rPr>
        <w:t xml:space="preserve">Um quadro para o fornecimento de materiais e equipamentos (Quadro PO-XVb) e outro para os serviços (Quadro PO-XVa), sob pena de desclassificação da proposta; </w:t>
      </w:r>
    </w:p>
    <w:p>
      <w:pPr>
        <w:pStyle w:val="ListParagraph"/>
        <w:numPr>
          <w:ilvl w:val="0"/>
          <w:numId w:val="7"/>
        </w:numPr>
        <w:rPr>
          <w:szCs w:val="20"/>
        </w:rPr>
      </w:pPr>
      <w:r>
        <w:rPr>
          <w:szCs w:val="20"/>
        </w:rPr>
        <w:t>No preenchimento dos Quadros – Detalhamento do BDI, o licitante deverá considerar todos os impostos, taxas e tributos, conforme previsto na legislação vigente, ou seja, aplicado sobre o preço de venda da obra;</w:t>
      </w:r>
    </w:p>
    <w:p>
      <w:pPr>
        <w:pStyle w:val="ListParagraph"/>
        <w:numPr>
          <w:ilvl w:val="0"/>
          <w:numId w:val="7"/>
        </w:numPr>
        <w:rPr>
          <w:szCs w:val="20"/>
        </w:rPr>
      </w:pPr>
      <w:r>
        <w:rPr>
          <w:szCs w:val="20"/>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pPr>
        <w:pStyle w:val="ListParagraph"/>
        <w:numPr>
          <w:ilvl w:val="0"/>
          <w:numId w:val="7"/>
        </w:numPr>
        <w:rPr>
          <w:szCs w:val="20"/>
        </w:rPr>
      </w:pPr>
      <w:r>
        <w:rPr>
          <w:szCs w:val="20"/>
        </w:rPr>
        <w:t>Não poderão ser considerados no Detalhamento do BDI, bem como na Planilha de Custos do Valor da Proposta do Licitante, os tributos: Imposto de Renda Pessoa Jurídica – IRPJ e a Contribuição Social Sobre o Lucro Líquido – CSLL;</w:t>
      </w:r>
    </w:p>
    <w:p>
      <w:pPr>
        <w:pStyle w:val="ListParagraph"/>
        <w:numPr>
          <w:ilvl w:val="0"/>
          <w:numId w:val="7"/>
        </w:numPr>
        <w:rPr>
          <w:szCs w:val="20"/>
        </w:rPr>
      </w:pPr>
      <w:r>
        <w:rPr>
          <w:szCs w:val="20"/>
        </w:rPr>
        <w:t>No detalhamento do BDI – Quadros PO-XV, não deverá constar do item “Despesas Financeiras” a previsão de despesas relativas aos dissídios;</w:t>
      </w:r>
    </w:p>
    <w:p>
      <w:pPr>
        <w:pStyle w:val="ListParagraph"/>
        <w:numPr>
          <w:ilvl w:val="0"/>
          <w:numId w:val="7"/>
        </w:numPr>
        <w:rPr>
          <w:szCs w:val="20"/>
        </w:rPr>
      </w:pPr>
      <w:r>
        <w:rPr>
          <w:szCs w:val="20"/>
        </w:rPr>
        <w:t>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pPr>
        <w:pStyle w:val="Normal"/>
        <w:rPr>
          <w:szCs w:val="20"/>
        </w:rPr>
      </w:pPr>
      <w:r>
        <w:rPr>
          <w:szCs w:val="20"/>
        </w:rPr>
      </w:r>
    </w:p>
    <w:p>
      <w:pPr>
        <w:pStyle w:val="ListParagraph"/>
        <w:numPr>
          <w:ilvl w:val="0"/>
          <w:numId w:val="29"/>
        </w:numPr>
        <w:rPr>
          <w:szCs w:val="20"/>
        </w:rPr>
      </w:pPr>
      <w:r>
        <w:rPr>
          <w:szCs w:val="20"/>
        </w:rPr>
        <w:t>Cronograma Físico-Financeiro dos itens da Planilha de Custos do Valor da Proposta do Licitante, obedecendo às atividades e prazos, com quantitativos previstos mês a mês, observando o prazo estabelecido para a execução dos serviços, conforme estabelecido neste TR.</w:t>
      </w:r>
    </w:p>
    <w:p>
      <w:pPr>
        <w:pStyle w:val="Normal"/>
        <w:rPr>
          <w:szCs w:val="20"/>
        </w:rPr>
      </w:pPr>
      <w:r>
        <w:rPr>
          <w:szCs w:val="20"/>
        </w:rPr>
      </w:r>
    </w:p>
    <w:p>
      <w:pPr>
        <w:pStyle w:val="Ttulo2"/>
        <w:numPr>
          <w:ilvl w:val="1"/>
          <w:numId w:val="2"/>
        </w:numPr>
        <w:rPr/>
      </w:pPr>
      <w:r>
        <w:rPr/>
        <w:t>A Proposta deverá ser datada e assinada pelo representante legal do licitante, com o valor global evidenciado em separado na 1ª folha da proposta, em algarismo e por extenso, baseado nos quantitativos dos serviços e fornecimentos descritos na Planilha de Custos do Valor da Proposta do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pPr>
        <w:pStyle w:val="Normal"/>
        <w:rPr>
          <w:szCs w:val="20"/>
        </w:rPr>
      </w:pPr>
      <w:r>
        <w:rPr>
          <w:szCs w:val="20"/>
        </w:rPr>
      </w:r>
    </w:p>
    <w:p>
      <w:pPr>
        <w:pStyle w:val="Ttulo2"/>
        <w:numPr>
          <w:ilvl w:val="1"/>
          <w:numId w:val="2"/>
        </w:numPr>
        <w:rPr/>
      </w:pPr>
      <w:bookmarkStart w:id="22" w:name="_Ref515976500"/>
      <w:r>
        <w:rPr/>
        <w:t xml:space="preserve">Os custos máximos da mobilização e desmobilização de pessoal, máquinas e equipamentos e da instalação do canteiro de apoio das obras e serviços de engenharia, bem como da construção de instalações permanentes e/ou provisórias, serão aqueles constantes da Planilha de Custos do Valor do Orçamento de Referência – </w:t>
      </w:r>
      <w:r>
        <w:rPr/>
        <w:fldChar w:fldCharType="begin"/>
      </w:r>
      <w:r>
        <w:instrText> REF _Ref450205763 \h </w:instrText>
      </w:r>
      <w:r>
        <w:fldChar w:fldCharType="separate"/>
      </w:r>
      <w:r>
        <w:t>Anexo VI</w:t>
      </w:r>
      <w:r>
        <w:fldChar w:fldCharType="end"/>
      </w:r>
      <w:bookmarkEnd w:id="22"/>
      <w:r>
        <w:rPr/>
        <w:t>, e que integram o presente Termo de Referência.</w:t>
      </w:r>
    </w:p>
    <w:p>
      <w:pPr>
        <w:pStyle w:val="Normal"/>
        <w:rPr>
          <w:szCs w:val="20"/>
        </w:rPr>
      </w:pPr>
      <w:r>
        <w:rPr>
          <w:szCs w:val="20"/>
        </w:rPr>
      </w:r>
    </w:p>
    <w:p>
      <w:pPr>
        <w:pStyle w:val="Ttulo2"/>
        <w:numPr>
          <w:ilvl w:val="1"/>
          <w:numId w:val="2"/>
        </w:numPr>
        <w:rPr/>
      </w:pPr>
      <w:r>
        <w:rPr/>
        <w:t>O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pPr>
        <w:pStyle w:val="Normal"/>
        <w:rPr>
          <w:szCs w:val="20"/>
        </w:rPr>
      </w:pPr>
      <w:r>
        <w:rPr>
          <w:szCs w:val="20"/>
        </w:rPr>
      </w:r>
    </w:p>
    <w:p>
      <w:pPr>
        <w:pStyle w:val="Ttulo2"/>
        <w:numPr>
          <w:ilvl w:val="1"/>
          <w:numId w:val="2"/>
        </w:numPr>
        <w:rPr/>
      </w:pPr>
      <w:r>
        <w:rPr/>
        <w:t>O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23" w:name="_Toc514937650"/>
      <w:bookmarkEnd w:id="23"/>
      <w:r>
        <w:rPr>
          <w:szCs w:val="20"/>
        </w:rPr>
        <w:t>DOCUMENTAÇÃO DE HABILITAÇÃO</w:t>
      </w:r>
    </w:p>
    <w:p>
      <w:pPr>
        <w:pStyle w:val="Normal"/>
        <w:rPr>
          <w:szCs w:val="20"/>
        </w:rPr>
      </w:pPr>
      <w:r>
        <w:rPr>
          <w:szCs w:val="20"/>
        </w:rPr>
      </w:r>
    </w:p>
    <w:p>
      <w:pPr>
        <w:pStyle w:val="Ttulo2"/>
        <w:numPr>
          <w:ilvl w:val="1"/>
          <w:numId w:val="2"/>
        </w:numPr>
        <w:rPr/>
      </w:pPr>
      <w:r>
        <w:rPr/>
        <w:t>QUALIFICAÇÃO TÉCNICA</w:t>
      </w:r>
    </w:p>
    <w:p>
      <w:pPr>
        <w:pStyle w:val="Normal"/>
        <w:rPr>
          <w:szCs w:val="20"/>
        </w:rPr>
      </w:pPr>
      <w:r>
        <w:rPr>
          <w:szCs w:val="20"/>
        </w:rPr>
      </w:r>
    </w:p>
    <w:p>
      <w:pPr>
        <w:pStyle w:val="Ttulo3"/>
        <w:numPr>
          <w:ilvl w:val="2"/>
          <w:numId w:val="2"/>
        </w:numPr>
        <w:rPr/>
      </w:pPr>
      <w:r>
        <w:rPr/>
        <w:t>O Licitante deverá apresentar os seguintes documentos:</w:t>
      </w:r>
    </w:p>
    <w:p>
      <w:pPr>
        <w:pStyle w:val="Normal"/>
        <w:rPr>
          <w:szCs w:val="20"/>
        </w:rPr>
      </w:pPr>
      <w:r>
        <w:rPr>
          <w:szCs w:val="20"/>
        </w:rPr>
      </w:r>
    </w:p>
    <w:p>
      <w:pPr>
        <w:pStyle w:val="ListParagraph"/>
        <w:numPr>
          <w:ilvl w:val="0"/>
          <w:numId w:val="23"/>
        </w:numPr>
        <w:rPr>
          <w:szCs w:val="20"/>
        </w:rPr>
      </w:pPr>
      <w:r>
        <w:rPr>
          <w:szCs w:val="20"/>
        </w:rPr>
        <w:t>Registro ou inscrição da empresa no Conselho Regional de Engenharia e Agronomia (CREA), demonstrando o ramo de atividade pertinente e compatível com o objeto deste Termo de Referência;</w:t>
      </w:r>
    </w:p>
    <w:p>
      <w:pPr>
        <w:pStyle w:val="ListParagraph"/>
        <w:numPr>
          <w:ilvl w:val="0"/>
          <w:numId w:val="23"/>
        </w:numPr>
        <w:rPr/>
      </w:pPr>
      <w:r>
        <w:rPr>
          <w:szCs w:val="20"/>
        </w:rPr>
        <w:t xml:space="preserve">DECLARAÇÃO DE CONHECIMENTO DO LOCAL DE EXECUÇÃO DOS SERVIÇOS (conforme subitem </w:t>
      </w:r>
      <w:r>
        <w:rPr>
          <w:szCs w:val="20"/>
        </w:rPr>
        <w:fldChar w:fldCharType="begin"/>
      </w:r>
      <w:r>
        <w:instrText> REF _Ref441155895 \r \h </w:instrText>
      </w:r>
      <w:r>
        <w:fldChar w:fldCharType="separate"/>
      </w:r>
      <w:r>
        <w:t>6.3.4</w:t>
      </w:r>
      <w:r>
        <w:fldChar w:fldCharType="end"/>
      </w:r>
      <w:r>
        <w:rPr>
          <w:szCs w:val="20"/>
        </w:rPr>
        <w:t xml:space="preserve"> e </w:t>
      </w:r>
      <w:r>
        <w:rPr>
          <w:szCs w:val="20"/>
        </w:rPr>
        <w:fldChar w:fldCharType="begin"/>
      </w:r>
      <w:r>
        <w:instrText> REF _Ref450205804 \h </w:instrText>
      </w:r>
      <w:r>
        <w:fldChar w:fldCharType="separate"/>
      </w:r>
      <w:r>
        <w:t>Anexo II</w:t>
      </w:r>
      <w:r>
        <w:fldChar w:fldCharType="end"/>
      </w:r>
      <w:r>
        <w:rPr>
          <w:szCs w:val="20"/>
        </w:rPr>
        <w:t>) informando que tem conhecimento do local onde serão executadas as obras e serviços de engenharia, emitida pelo próprio licitante, assinada pelo(s) o(s) Responsável(is) Técnico(s) ou Representante Legal.</w:t>
      </w:r>
    </w:p>
    <w:p>
      <w:pPr>
        <w:pStyle w:val="ListParagraph"/>
        <w:numPr>
          <w:ilvl w:val="0"/>
          <w:numId w:val="23"/>
        </w:numPr>
        <w:rPr>
          <w:szCs w:val="20"/>
        </w:rPr>
      </w:pPr>
      <w:r>
        <w:rPr>
          <w:szCs w:val="20"/>
        </w:rPr>
        <w:t>Atestado(s) de capacidade técnica, em nome da empresa,</w:t>
      </w:r>
      <w:r>
        <w:rPr/>
        <w:t xml:space="preserve"> expedido por pessoa jurídica de direito público ou privado, que comprove que o licitante tenha executado serviços em, obras de esgotamento sanitário ou obras similares de porte e complexidade ao objeto desta licitação, executadas com técnicas construtivas semelhantes ou superiores às requeridas para execução dos itens relacionados abaixo, com os seguintes quantitativos</w:t>
      </w:r>
      <w:r>
        <w:rPr>
          <w:szCs w:val="20"/>
        </w:rPr>
        <w:t xml:space="preserve"> mínimos:</w:t>
      </w:r>
    </w:p>
    <w:p>
      <w:pPr>
        <w:pStyle w:val="Normal"/>
        <w:rPr>
          <w:szCs w:val="20"/>
        </w:rPr>
      </w:pPr>
      <w:r>
        <w:rPr>
          <w:szCs w:val="20"/>
        </w:rPr>
      </w:r>
    </w:p>
    <w:tbl>
      <w:tblPr>
        <w:tblW w:w="850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0" w:type="dxa"/>
          <w:bottom w:w="0" w:type="dxa"/>
          <w:right w:w="70" w:type="dxa"/>
        </w:tblCellMar>
        <w:tblLook w:firstRow="1" w:noVBand="1" w:lastRow="0" w:firstColumn="1" w:lastColumn="0" w:noHBand="0" w:val="04a0"/>
      </w:tblPr>
      <w:tblGrid>
        <w:gridCol w:w="754"/>
        <w:gridCol w:w="5898"/>
        <w:gridCol w:w="1853"/>
      </w:tblGrid>
      <w:tr>
        <w:trPr>
          <w:trHeight w:val="113" w:hRule="atLeast"/>
        </w:trPr>
        <w:tc>
          <w:tcPr>
            <w:tcW w:w="850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D8D8D8" w:val="clear"/>
            <w:tcMar>
              <w:left w:w="70" w:type="dxa"/>
            </w:tcMar>
            <w:vAlign w:val="center"/>
          </w:tcPr>
          <w:p>
            <w:pPr>
              <w:pStyle w:val="Normal"/>
              <w:jc w:val="center"/>
              <w:rPr>
                <w:b/>
                <w:b/>
                <w:bCs/>
                <w:szCs w:val="20"/>
              </w:rPr>
            </w:pPr>
            <w:r>
              <w:rPr>
                <w:bCs/>
                <w:i/>
                <w:iCs/>
                <w:szCs w:val="20"/>
              </w:rPr>
              <w:t>MUNICÍPIO DE MALHADA DOS BOIS</w:t>
            </w:r>
          </w:p>
        </w:tc>
      </w:tr>
      <w:tr>
        <w:trPr>
          <w:trHeight w:val="113" w:hRule="atLeast"/>
        </w:trPr>
        <w:tc>
          <w:tcPr>
            <w:tcW w:w="7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D8D8D8" w:val="clear"/>
            <w:tcMar>
              <w:left w:w="70" w:type="dxa"/>
            </w:tcMar>
            <w:vAlign w:val="center"/>
          </w:tcPr>
          <w:p>
            <w:pPr>
              <w:pStyle w:val="Normal"/>
              <w:spacing w:lineRule="auto" w:line="276"/>
              <w:jc w:val="center"/>
              <w:rPr>
                <w:b/>
                <w:b/>
                <w:bCs/>
                <w:szCs w:val="20"/>
                <w:lang w:eastAsia="pt-BR"/>
              </w:rPr>
            </w:pPr>
            <w:r>
              <w:rPr>
                <w:b/>
                <w:bCs/>
                <w:szCs w:val="20"/>
                <w:lang w:eastAsia="pt-BR"/>
              </w:rPr>
              <w:t>ITEM</w:t>
            </w:r>
          </w:p>
        </w:tc>
        <w:tc>
          <w:tcPr>
            <w:tcW w:w="5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D8D8D8" w:val="clear"/>
            <w:tcMar>
              <w:left w:w="70" w:type="dxa"/>
            </w:tcMar>
            <w:vAlign w:val="center"/>
          </w:tcPr>
          <w:p>
            <w:pPr>
              <w:pStyle w:val="Normal"/>
              <w:spacing w:lineRule="auto" w:line="276"/>
              <w:jc w:val="center"/>
              <w:rPr>
                <w:b/>
                <w:b/>
                <w:bCs/>
                <w:szCs w:val="20"/>
                <w:lang w:eastAsia="pt-BR"/>
              </w:rPr>
            </w:pPr>
            <w:r>
              <w:rPr>
                <w:b/>
                <w:bCs/>
                <w:szCs w:val="20"/>
                <w:lang w:eastAsia="pt-BR"/>
              </w:rPr>
              <w:t>SERVIÇO</w:t>
            </w:r>
          </w:p>
        </w:tc>
        <w:tc>
          <w:tcPr>
            <w:tcW w:w="1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D8D8D8" w:val="clear"/>
            <w:tcMar>
              <w:left w:w="70" w:type="dxa"/>
            </w:tcMar>
            <w:vAlign w:val="center"/>
          </w:tcPr>
          <w:p>
            <w:pPr>
              <w:pStyle w:val="Normal"/>
              <w:spacing w:lineRule="auto" w:line="276"/>
              <w:jc w:val="center"/>
              <w:rPr>
                <w:b/>
                <w:b/>
                <w:bCs/>
                <w:szCs w:val="20"/>
                <w:lang w:eastAsia="pt-BR"/>
              </w:rPr>
            </w:pPr>
            <w:r>
              <w:rPr>
                <w:b/>
                <w:bCs/>
                <w:szCs w:val="20"/>
                <w:lang w:eastAsia="pt-BR"/>
              </w:rPr>
              <w:t>QUANTIDADE</w:t>
            </w:r>
          </w:p>
        </w:tc>
      </w:tr>
      <w:tr>
        <w:trPr>
          <w:trHeight w:val="113" w:hRule="atLeast"/>
        </w:trPr>
        <w:tc>
          <w:tcPr>
            <w:tcW w:w="7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1.0</w:t>
            </w:r>
          </w:p>
        </w:tc>
        <w:tc>
          <w:tcPr>
            <w:tcW w:w="5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rPr>
                <w:szCs w:val="20"/>
              </w:rPr>
            </w:pPr>
            <w:r>
              <w:rPr>
                <w:szCs w:val="20"/>
              </w:rPr>
              <w:t>Alvenaria pedra granítica argamassada</w:t>
            </w:r>
          </w:p>
        </w:tc>
        <w:tc>
          <w:tcPr>
            <w:tcW w:w="1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rPr>
            </w:pPr>
            <w:r>
              <w:rPr>
                <w:szCs w:val="20"/>
              </w:rPr>
              <w:t>400 m³</w:t>
            </w:r>
          </w:p>
        </w:tc>
      </w:tr>
      <w:tr>
        <w:trPr>
          <w:trHeight w:val="113" w:hRule="atLeast"/>
        </w:trPr>
        <w:tc>
          <w:tcPr>
            <w:tcW w:w="7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2.0</w:t>
            </w:r>
          </w:p>
        </w:tc>
        <w:tc>
          <w:tcPr>
            <w:tcW w:w="5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rPr>
                <w:szCs w:val="20"/>
              </w:rPr>
            </w:pPr>
            <w:r>
              <w:rPr>
                <w:szCs w:val="20"/>
              </w:rPr>
              <w:t>Concreto Armado fck=20,0MPa</w:t>
            </w:r>
          </w:p>
        </w:tc>
        <w:tc>
          <w:tcPr>
            <w:tcW w:w="1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rPr>
            </w:pPr>
            <w:r>
              <w:rPr>
                <w:szCs w:val="20"/>
              </w:rPr>
              <w:t>20 m³</w:t>
            </w:r>
          </w:p>
        </w:tc>
      </w:tr>
      <w:tr>
        <w:trPr>
          <w:trHeight w:val="113" w:hRule="atLeast"/>
        </w:trPr>
        <w:tc>
          <w:tcPr>
            <w:tcW w:w="7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3.0</w:t>
            </w:r>
          </w:p>
        </w:tc>
        <w:tc>
          <w:tcPr>
            <w:tcW w:w="5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rPr>
                <w:szCs w:val="20"/>
              </w:rPr>
            </w:pPr>
            <w:r>
              <w:rPr>
                <w:szCs w:val="20"/>
              </w:rPr>
              <w:t>Escavação, carga e transporte de material de 1ª categoria</w:t>
            </w:r>
          </w:p>
        </w:tc>
        <w:tc>
          <w:tcPr>
            <w:tcW w:w="1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rPr>
            </w:pPr>
            <w:r>
              <w:rPr>
                <w:szCs w:val="20"/>
              </w:rPr>
              <w:t>4.000 m³</w:t>
            </w:r>
          </w:p>
        </w:tc>
      </w:tr>
      <w:tr>
        <w:trPr>
          <w:trHeight w:val="113" w:hRule="atLeast"/>
        </w:trPr>
        <w:tc>
          <w:tcPr>
            <w:tcW w:w="7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4.0</w:t>
            </w:r>
          </w:p>
        </w:tc>
        <w:tc>
          <w:tcPr>
            <w:tcW w:w="5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rPr>
                <w:szCs w:val="20"/>
              </w:rPr>
            </w:pPr>
            <w:r>
              <w:rPr>
                <w:szCs w:val="20"/>
              </w:rPr>
              <w:t>Aterro compactado mecanicamente c/ controle do GC</w:t>
            </w:r>
          </w:p>
        </w:tc>
        <w:tc>
          <w:tcPr>
            <w:tcW w:w="1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rPr>
            </w:pPr>
            <w:r>
              <w:rPr>
                <w:szCs w:val="20"/>
              </w:rPr>
              <w:t>2.800 m³</w:t>
            </w:r>
          </w:p>
        </w:tc>
      </w:tr>
      <w:tr>
        <w:trPr>
          <w:trHeight w:val="113" w:hRule="atLeast"/>
        </w:trPr>
        <w:tc>
          <w:tcPr>
            <w:tcW w:w="7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5.0</w:t>
            </w:r>
          </w:p>
        </w:tc>
        <w:tc>
          <w:tcPr>
            <w:tcW w:w="5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rPr>
                <w:szCs w:val="20"/>
              </w:rPr>
            </w:pPr>
            <w:r>
              <w:rPr>
                <w:szCs w:val="20"/>
              </w:rPr>
              <w:t xml:space="preserve">Estrutura em gabião </w:t>
            </w:r>
          </w:p>
        </w:tc>
        <w:tc>
          <w:tcPr>
            <w:tcW w:w="1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rPr>
            </w:pPr>
            <w:r>
              <w:rPr>
                <w:szCs w:val="20"/>
              </w:rPr>
              <w:t>100 m³</w:t>
            </w:r>
          </w:p>
        </w:tc>
      </w:tr>
    </w:tbl>
    <w:p>
      <w:pPr>
        <w:pStyle w:val="Normal"/>
        <w:rPr>
          <w:szCs w:val="20"/>
        </w:rPr>
      </w:pPr>
      <w:r>
        <w:rPr>
          <w:szCs w:val="20"/>
        </w:rPr>
      </w:r>
    </w:p>
    <w:p>
      <w:pPr>
        <w:pStyle w:val="ListParagraph"/>
        <w:numPr>
          <w:ilvl w:val="0"/>
          <w:numId w:val="17"/>
        </w:numPr>
        <w:ind w:left="1416" w:hanging="360"/>
        <w:rPr>
          <w:szCs w:val="20"/>
        </w:rPr>
      </w:pPr>
      <w:r>
        <w:rPr>
          <w:szCs w:val="20"/>
        </w:rPr>
        <w:t>É permitido o somatório dos quantitativos estipulados na alínea “c”, mediante comprovação em mais de um atestado;</w:t>
      </w:r>
    </w:p>
    <w:p>
      <w:pPr>
        <w:pStyle w:val="Normal"/>
        <w:ind w:left="696" w:hanging="0"/>
        <w:rPr>
          <w:szCs w:val="20"/>
        </w:rPr>
      </w:pPr>
      <w:r>
        <w:rPr>
          <w:szCs w:val="20"/>
        </w:rPr>
      </w:r>
    </w:p>
    <w:p>
      <w:pPr>
        <w:pStyle w:val="ListParagraph"/>
        <w:numPr>
          <w:ilvl w:val="0"/>
          <w:numId w:val="17"/>
        </w:numPr>
        <w:ind w:left="1416" w:hanging="360"/>
        <w:rPr>
          <w:rFonts w:eastAsia="Calibri"/>
          <w:szCs w:val="20"/>
        </w:rPr>
      </w:pPr>
      <w:r>
        <w:rPr>
          <w:szCs w:val="20"/>
        </w:rPr>
        <w:t xml:space="preserve">Definem-se como obras similares: Obras construtivamente afins às de saneamento básico, especialmente no campo de engenharia hidráulica, incluindo </w:t>
      </w:r>
      <w:r>
        <w:rPr>
          <w:rFonts w:eastAsia="Calibri"/>
          <w:szCs w:val="20"/>
        </w:rPr>
        <w:t>os sistemas de abastecimento de água e de esgotamento sanitário envolvendo: adutoras, canais, reversão de bacias, emissários e estações de bombeamento de água e de esgotos.</w:t>
      </w:r>
    </w:p>
    <w:p>
      <w:pPr>
        <w:pStyle w:val="Normal"/>
        <w:ind w:left="696" w:hanging="0"/>
        <w:rPr>
          <w:szCs w:val="20"/>
        </w:rPr>
      </w:pPr>
      <w:r>
        <w:rPr>
          <w:szCs w:val="20"/>
        </w:rPr>
      </w:r>
    </w:p>
    <w:p>
      <w:pPr>
        <w:pStyle w:val="ListParagraph"/>
        <w:numPr>
          <w:ilvl w:val="0"/>
          <w:numId w:val="17"/>
        </w:numPr>
        <w:ind w:left="1416" w:hanging="360"/>
        <w:rPr>
          <w:szCs w:val="20"/>
        </w:rPr>
      </w:pPr>
      <w:r>
        <w:rPr>
          <w:szCs w:val="20"/>
        </w:rPr>
        <w:t>Definem-se como obras de porte e complexidade similares àquelas que apresentam grandezas e características técnicas semelhantes às descritas no Projeto Básico – Anexo VI, parte integrante deste Termo de Referência;</w:t>
      </w:r>
    </w:p>
    <w:p>
      <w:pPr>
        <w:pStyle w:val="Normal"/>
        <w:ind w:left="696" w:hanging="0"/>
        <w:rPr>
          <w:szCs w:val="20"/>
        </w:rPr>
      </w:pPr>
      <w:r>
        <w:rPr>
          <w:szCs w:val="20"/>
        </w:rPr>
      </w:r>
    </w:p>
    <w:p>
      <w:pPr>
        <w:pStyle w:val="ListParagraph"/>
        <w:numPr>
          <w:ilvl w:val="0"/>
          <w:numId w:val="17"/>
        </w:numPr>
        <w:ind w:left="1416" w:hanging="360"/>
        <w:rPr>
          <w:szCs w:val="20"/>
        </w:rPr>
      </w:pPr>
      <w:r>
        <w:rPr>
          <w:szCs w:val="20"/>
        </w:rPr>
        <w:t>Deverá(ão) constar do(s) atestado(s),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pPr>
        <w:pStyle w:val="ListParagraph"/>
        <w:numPr>
          <w:ilvl w:val="0"/>
          <w:numId w:val="0"/>
        </w:numPr>
        <w:ind w:left="1416" w:hanging="0"/>
        <w:rPr>
          <w:szCs w:val="20"/>
        </w:rPr>
      </w:pPr>
      <w:r>
        <w:rPr>
          <w:szCs w:val="20"/>
        </w:rPr>
      </w:r>
    </w:p>
    <w:p>
      <w:pPr>
        <w:pStyle w:val="ListParagraph"/>
        <w:numPr>
          <w:ilvl w:val="0"/>
          <w:numId w:val="16"/>
        </w:numPr>
        <w:rPr>
          <w:szCs w:val="20"/>
        </w:rPr>
      </w:pPr>
      <w:r>
        <w:rPr>
          <w:szCs w:val="20"/>
        </w:rPr>
        <w:t>Comprovação de que o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à obra de esgotamento sanitário ou obras similares, conforme alínea “c2” deste subitem).</w:t>
      </w:r>
    </w:p>
    <w:p>
      <w:pPr>
        <w:pStyle w:val="ListParagraph"/>
        <w:numPr>
          <w:ilvl w:val="0"/>
          <w:numId w:val="0"/>
        </w:numPr>
        <w:ind w:left="720" w:hanging="0"/>
        <w:rPr>
          <w:szCs w:val="20"/>
        </w:rPr>
      </w:pPr>
      <w:r>
        <w:rPr>
          <w:szCs w:val="20"/>
        </w:rPr>
      </w:r>
    </w:p>
    <w:p>
      <w:pPr>
        <w:pStyle w:val="ListParagraph"/>
        <w:numPr>
          <w:ilvl w:val="0"/>
          <w:numId w:val="25"/>
        </w:numPr>
        <w:ind w:left="1418" w:hanging="425"/>
        <w:rPr>
          <w:szCs w:val="20"/>
        </w:rPr>
      </w:pPr>
      <w:r>
        <w:rPr>
          <w:szCs w:val="20"/>
        </w:rPr>
        <w:t xml:space="preserve">Entende-se, para fins deste Termo de Referência, como pertencente ao quadro permanente: </w:t>
      </w:r>
    </w:p>
    <w:p>
      <w:pPr>
        <w:pStyle w:val="Normal"/>
        <w:numPr>
          <w:ilvl w:val="1"/>
          <w:numId w:val="24"/>
        </w:numPr>
        <w:tabs>
          <w:tab w:val="left" w:pos="1560" w:leader="none"/>
        </w:tabs>
        <w:suppressAutoHyphens w:val="true"/>
        <w:ind w:left="2568" w:hanging="357"/>
        <w:rPr>
          <w:szCs w:val="20"/>
        </w:rPr>
      </w:pPr>
      <w:r>
        <w:rPr>
          <w:szCs w:val="20"/>
        </w:rPr>
        <w:t>O empregado;</w:t>
      </w:r>
    </w:p>
    <w:p>
      <w:pPr>
        <w:pStyle w:val="Normal"/>
        <w:numPr>
          <w:ilvl w:val="1"/>
          <w:numId w:val="24"/>
        </w:numPr>
        <w:tabs>
          <w:tab w:val="left" w:pos="1560" w:leader="none"/>
        </w:tabs>
        <w:suppressAutoHyphens w:val="true"/>
        <w:ind w:left="2568" w:hanging="357"/>
        <w:rPr>
          <w:szCs w:val="20"/>
        </w:rPr>
      </w:pPr>
      <w:r>
        <w:rPr>
          <w:szCs w:val="20"/>
        </w:rPr>
        <w:t xml:space="preserve">O sócio; </w:t>
      </w:r>
    </w:p>
    <w:p>
      <w:pPr>
        <w:pStyle w:val="Normal"/>
        <w:numPr>
          <w:ilvl w:val="1"/>
          <w:numId w:val="24"/>
        </w:numPr>
        <w:tabs>
          <w:tab w:val="left" w:pos="1560" w:leader="none"/>
        </w:tabs>
        <w:suppressAutoHyphens w:val="true"/>
        <w:ind w:left="2568" w:hanging="357"/>
        <w:rPr>
          <w:szCs w:val="20"/>
        </w:rPr>
      </w:pPr>
      <w:r>
        <w:rPr>
          <w:szCs w:val="20"/>
        </w:rPr>
        <w:t>O detentor de contrato de prestação de serviço.</w:t>
      </w:r>
    </w:p>
    <w:p>
      <w:pPr>
        <w:pStyle w:val="Normal"/>
        <w:tabs>
          <w:tab w:val="left" w:pos="1560" w:leader="none"/>
        </w:tabs>
        <w:suppressAutoHyphens w:val="true"/>
        <w:spacing w:before="120" w:after="0"/>
        <w:ind w:left="2574" w:hanging="0"/>
        <w:rPr>
          <w:szCs w:val="20"/>
        </w:rPr>
      </w:pPr>
      <w:r>
        <w:rPr>
          <w:szCs w:val="20"/>
        </w:rPr>
      </w:r>
    </w:p>
    <w:p>
      <w:pPr>
        <w:pStyle w:val="ListParagraph"/>
        <w:numPr>
          <w:ilvl w:val="0"/>
          <w:numId w:val="25"/>
        </w:numPr>
        <w:ind w:left="1418" w:hanging="425"/>
        <w:rPr>
          <w:szCs w:val="20"/>
        </w:rPr>
      </w:pPr>
      <w:r>
        <w:rPr>
          <w:szCs w:val="20"/>
        </w:rPr>
        <w:t>O licitante deverá comprovar através da juntada de cópia de: ficha ou livro de registro de empregado ou carteira de trabalho do profissional, que comprove a condição de pertencente ao quadro do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pPr>
        <w:pStyle w:val="ListParagraph"/>
        <w:numPr>
          <w:ilvl w:val="0"/>
          <w:numId w:val="0"/>
        </w:numPr>
        <w:ind w:left="1418" w:hanging="0"/>
        <w:rPr>
          <w:szCs w:val="20"/>
        </w:rPr>
      </w:pPr>
      <w:r>
        <w:rPr>
          <w:szCs w:val="20"/>
        </w:rPr>
      </w:r>
    </w:p>
    <w:p>
      <w:pPr>
        <w:pStyle w:val="ListParagraph"/>
        <w:numPr>
          <w:ilvl w:val="0"/>
          <w:numId w:val="25"/>
        </w:numPr>
        <w:ind w:left="1418" w:hanging="425"/>
        <w:rPr>
          <w:szCs w:val="20"/>
        </w:rPr>
      </w:pPr>
      <w:r>
        <w:rPr>
          <w:szCs w:val="20"/>
        </w:rPr>
        <w:t>Quando se tratar de dirigente ou sócio do licitante tal comprovação será através do ato constitutivo do mesmo;</w:t>
      </w:r>
    </w:p>
    <w:p>
      <w:pPr>
        <w:pStyle w:val="ListParagraph"/>
        <w:numPr>
          <w:ilvl w:val="0"/>
          <w:numId w:val="0"/>
        </w:numPr>
        <w:ind w:left="720" w:hanging="0"/>
        <w:rPr>
          <w:szCs w:val="20"/>
        </w:rPr>
      </w:pPr>
      <w:r>
        <w:rPr>
          <w:szCs w:val="20"/>
        </w:rPr>
      </w:r>
    </w:p>
    <w:p>
      <w:pPr>
        <w:pStyle w:val="ListParagraph"/>
        <w:numPr>
          <w:ilvl w:val="0"/>
          <w:numId w:val="25"/>
        </w:numPr>
        <w:ind w:left="1418" w:hanging="425"/>
        <w:rPr>
          <w:szCs w:val="20"/>
        </w:rPr>
      </w:pPr>
      <w:r>
        <w:rPr>
          <w:szCs w:val="20"/>
        </w:rPr>
        <w:t>No caso de dois ou mais licitantes apresentarem atestados de um mesmo profissional como responsável técnico, como comprovação de qualificação técnica, ambos serão inabilitados.</w:t>
      </w:r>
    </w:p>
    <w:p>
      <w:pPr>
        <w:pStyle w:val="Normal"/>
        <w:rPr>
          <w:szCs w:val="20"/>
        </w:rPr>
      </w:pPr>
      <w:r>
        <w:rPr>
          <w:szCs w:val="20"/>
        </w:rPr>
      </w:r>
    </w:p>
    <w:p>
      <w:pPr>
        <w:pStyle w:val="Ttulo1"/>
        <w:numPr>
          <w:ilvl w:val="0"/>
          <w:numId w:val="2"/>
        </w:numPr>
        <w:rPr>
          <w:szCs w:val="20"/>
        </w:rPr>
      </w:pPr>
      <w:bookmarkStart w:id="24" w:name="_Toc514937651"/>
      <w:bookmarkEnd w:id="24"/>
      <w:r>
        <w:rPr>
          <w:szCs w:val="20"/>
        </w:rPr>
        <w:t>ORÇAMENTO DE REFERÊNCIA E DOTAÇÃO ORÇAMENTÁRIA</w:t>
      </w:r>
    </w:p>
    <w:p>
      <w:pPr>
        <w:pStyle w:val="Normal"/>
        <w:rPr>
          <w:szCs w:val="20"/>
        </w:rPr>
      </w:pPr>
      <w:r>
        <w:rPr>
          <w:szCs w:val="20"/>
        </w:rPr>
      </w:r>
    </w:p>
    <w:p>
      <w:pPr>
        <w:pStyle w:val="Normal"/>
        <w:rPr>
          <w:szCs w:val="20"/>
        </w:rPr>
      </w:pPr>
      <w:r>
        <w:rPr>
          <w:szCs w:val="20"/>
        </w:rPr>
      </w:r>
    </w:p>
    <w:p>
      <w:pPr>
        <w:pStyle w:val="Ttulo2"/>
        <w:numPr>
          <w:ilvl w:val="1"/>
          <w:numId w:val="2"/>
        </w:numPr>
        <w:rPr/>
      </w:pPr>
      <w:bookmarkStart w:id="25" w:name="_Ref449450747"/>
      <w:r>
        <w:rPr/>
        <w:t>Os recursos orçamentários em que correrão as despesas da presente contratação são oriundos do Programa de Trabalho: 17.512.2068.10RM.0001 – Implantação, Ampliação ou Melhoria de Sistemas Públicos de Esgotamento Sanitário em municípios das Bacias do São Francisco e do Parnaíba – Nacional – Crédito Extraordinário, Categoria Econômica 4, Despesas de Capital ), sob a gestão da Área de Revitalização de Bacias hidrográficas da Codevasf.</w:t>
      </w:r>
    </w:p>
    <w:p>
      <w:pPr>
        <w:pStyle w:val="Normal"/>
        <w:rPr>
          <w:szCs w:val="20"/>
        </w:rPr>
      </w:pPr>
      <w:r>
        <w:rPr>
          <w:szCs w:val="20"/>
        </w:rPr>
      </w:r>
    </w:p>
    <w:p>
      <w:pPr>
        <w:pStyle w:val="Ttulo2"/>
        <w:numPr>
          <w:ilvl w:val="1"/>
          <w:numId w:val="2"/>
        </w:numPr>
        <w:rPr/>
      </w:pPr>
      <w:bookmarkStart w:id="26" w:name="_Ref449450747"/>
      <w:r>
        <w:rPr/>
        <w:t>O valor estimado para a contratação dos insumos, obras e serviços de engenharia objeto deste Termo de Referência, é de R$ 4.244.454,66 (quatro milhões, duzentos e quarenta e quatro mil, quatrocentos e cinquenta e quatro reais e sessenta e seis centavos), data-base de junho de 2018</w:t>
      </w:r>
      <w:bookmarkEnd w:id="26"/>
      <w:r>
        <w:rPr/>
        <w:t>, sem desoneração.</w:t>
      </w:r>
    </w:p>
    <w:p>
      <w:pPr>
        <w:pStyle w:val="Ttulo2"/>
        <w:numPr>
          <w:ilvl w:val="0"/>
          <w:numId w:val="0"/>
        </w:numPr>
        <w:ind w:left="1425" w:hanging="0"/>
        <w:rPr/>
      </w:pPr>
      <w:r>
        <w:rPr/>
      </w:r>
    </w:p>
    <w:p>
      <w:pPr>
        <w:pStyle w:val="Ttulo2"/>
        <w:numPr>
          <w:ilvl w:val="1"/>
          <w:numId w:val="2"/>
        </w:numPr>
        <w:rPr/>
      </w:pPr>
      <w:r>
        <w:rPr/>
        <w:t xml:space="preserve">Estão inclusos no valor acima, o BDI, os encargos sociais, as taxas, os impostos e os emolumentos. Os quantitativos e os preços de referência da Codevasf para os itens necessários à execução do objeto constam da Planilha de Custos do Valor do Orçamento de Referência – </w:t>
      </w:r>
      <w:r>
        <w:rPr/>
        <w:fldChar w:fldCharType="begin"/>
      </w:r>
      <w:r>
        <w:instrText> REF _Ref450205763 \h </w:instrText>
      </w:r>
      <w:r>
        <w:fldChar w:fldCharType="separate"/>
      </w:r>
      <w:r>
        <w:t>Anexo VI</w:t>
      </w:r>
      <w:r>
        <w:fldChar w:fldCharType="end"/>
      </w:r>
      <w:r>
        <w:rPr/>
        <w:t>, parte integrante deste Termo de Referência.</w:t>
      </w:r>
    </w:p>
    <w:p>
      <w:pPr>
        <w:pStyle w:val="Ttulo2"/>
        <w:numPr>
          <w:ilvl w:val="0"/>
          <w:numId w:val="0"/>
        </w:numPr>
        <w:ind w:left="426" w:hanging="0"/>
        <w:rPr/>
      </w:pPr>
      <w:r>
        <w:rPr/>
      </w:r>
    </w:p>
    <w:p>
      <w:pPr>
        <w:pStyle w:val="Ttulo2"/>
        <w:numPr>
          <w:ilvl w:val="1"/>
          <w:numId w:val="2"/>
        </w:numPr>
        <w:rPr/>
      </w:pPr>
      <w:r>
        <w:rPr/>
        <w:t>O valor estimado para a contratação foi elaborado com base no Sistema de Preços, Custos e Índices da Caixa Econômica Federal (SINAPI) para o estado de Sergipe, na data-base de junho/2018, sem desoneração, atendendo ao disposto na Lei nº 13.587, de 02/01/2018 (LDO 2018) e no Decreto nº 7.983, de 08/04/2013, já inclusos o BDI, encargos sociais, taxas, impostos e emolumentos. Para os serviços e materiais não constantes nos sistemas de custos citados acima, foram efetuadas pesquisas de mercado, além de composição de preços unitários elaborados pela Codevasf.</w:t>
      </w:r>
    </w:p>
    <w:p>
      <w:pPr>
        <w:pStyle w:val="Ttulo2"/>
        <w:numPr>
          <w:ilvl w:val="0"/>
          <w:numId w:val="0"/>
        </w:numPr>
        <w:ind w:left="426" w:hanging="0"/>
        <w:rPr/>
      </w:pPr>
      <w:r>
        <w:rPr/>
      </w:r>
    </w:p>
    <w:p>
      <w:pPr>
        <w:pStyle w:val="Ttulo3"/>
        <w:numPr>
          <w:ilvl w:val="2"/>
          <w:numId w:val="2"/>
        </w:numPr>
        <w:rPr/>
      </w:pPr>
      <w:r>
        <w:rPr/>
        <w:t xml:space="preserve">No orçamento de referência foram consideradas as seguintes taxas de BDI e Encargos Sociais: </w:t>
      </w:r>
    </w:p>
    <w:p>
      <w:pPr>
        <w:pStyle w:val="Normal"/>
        <w:rPr>
          <w:szCs w:val="20"/>
        </w:rPr>
      </w:pPr>
      <w:r>
        <w:rPr>
          <w:szCs w:val="20"/>
        </w:rPr>
      </w:r>
    </w:p>
    <w:tbl>
      <w:tblPr>
        <w:tblStyle w:val="Tabelacomgrade"/>
        <w:tblW w:w="8395" w:type="dxa"/>
        <w:jc w:val="left"/>
        <w:tblInd w:w="817" w:type="dxa"/>
        <w:tblCellMar>
          <w:top w:w="0" w:type="dxa"/>
          <w:left w:w="108" w:type="dxa"/>
          <w:bottom w:w="0" w:type="dxa"/>
          <w:right w:w="108" w:type="dxa"/>
        </w:tblCellMar>
        <w:tblLook w:firstRow="1" w:noVBand="1" w:lastRow="0" w:firstColumn="1" w:lastColumn="0" w:noHBand="0" w:val="04a0"/>
      </w:tblPr>
      <w:tblGrid>
        <w:gridCol w:w="2098"/>
        <w:gridCol w:w="700"/>
        <w:gridCol w:w="1399"/>
        <w:gridCol w:w="1400"/>
        <w:gridCol w:w="698"/>
        <w:gridCol w:w="2099"/>
      </w:tblGrid>
      <w:tr>
        <w:trPr>
          <w:trHeight w:val="382" w:hRule="atLeast"/>
        </w:trPr>
        <w:tc>
          <w:tcPr>
            <w:tcW w:w="2798" w:type="dxa"/>
            <w:gridSpan w:val="2"/>
            <w:tcBorders/>
            <w:shd w:fill="auto" w:val="clear"/>
            <w:tcMar>
              <w:left w:w="108" w:type="dxa"/>
            </w:tcMar>
            <w:vAlign w:val="center"/>
          </w:tcPr>
          <w:p>
            <w:pPr>
              <w:pStyle w:val="Normal"/>
              <w:spacing w:lineRule="auto" w:line="240" w:before="0" w:after="0"/>
              <w:jc w:val="center"/>
              <w:rPr>
                <w:szCs w:val="20"/>
              </w:rPr>
            </w:pPr>
            <w:r>
              <w:rPr>
                <w:szCs w:val="20"/>
              </w:rPr>
              <w:t>BDI:</w:t>
            </w:r>
          </w:p>
        </w:tc>
        <w:tc>
          <w:tcPr>
            <w:tcW w:w="2799" w:type="dxa"/>
            <w:gridSpan w:val="2"/>
            <w:tcBorders/>
            <w:shd w:fill="auto" w:val="clear"/>
            <w:tcMar>
              <w:left w:w="108" w:type="dxa"/>
            </w:tcMar>
            <w:vAlign w:val="center"/>
          </w:tcPr>
          <w:p>
            <w:pPr>
              <w:pStyle w:val="Normal"/>
              <w:spacing w:lineRule="auto" w:line="240" w:before="0" w:after="0"/>
              <w:jc w:val="center"/>
              <w:rPr>
                <w:szCs w:val="20"/>
              </w:rPr>
            </w:pPr>
            <w:r>
              <w:rPr>
                <w:szCs w:val="20"/>
              </w:rPr>
              <w:t>Serviços: 24,18 %</w:t>
            </w:r>
          </w:p>
        </w:tc>
        <w:tc>
          <w:tcPr>
            <w:tcW w:w="2797" w:type="dxa"/>
            <w:gridSpan w:val="2"/>
            <w:tcBorders/>
            <w:shd w:fill="auto" w:val="clear"/>
            <w:tcMar>
              <w:left w:w="108" w:type="dxa"/>
            </w:tcMar>
            <w:vAlign w:val="center"/>
          </w:tcPr>
          <w:p>
            <w:pPr>
              <w:pStyle w:val="Normal"/>
              <w:spacing w:lineRule="auto" w:line="240" w:before="0" w:after="0"/>
              <w:jc w:val="center"/>
              <w:rPr>
                <w:szCs w:val="20"/>
              </w:rPr>
            </w:pPr>
            <w:r>
              <w:rPr>
                <w:szCs w:val="20"/>
              </w:rPr>
              <w:t>Fornecimento: 14,02 %</w:t>
            </w:r>
          </w:p>
        </w:tc>
      </w:tr>
      <w:tr>
        <w:trPr>
          <w:trHeight w:val="382" w:hRule="atLeast"/>
        </w:trPr>
        <w:tc>
          <w:tcPr>
            <w:tcW w:w="2798" w:type="dxa"/>
            <w:gridSpan w:val="2"/>
            <w:tcBorders/>
            <w:shd w:fill="auto" w:val="clear"/>
            <w:tcMar>
              <w:left w:w="108" w:type="dxa"/>
            </w:tcMar>
            <w:vAlign w:val="center"/>
          </w:tcPr>
          <w:p>
            <w:pPr>
              <w:pStyle w:val="Normal"/>
              <w:spacing w:lineRule="auto" w:line="240" w:before="0" w:after="0"/>
              <w:jc w:val="center"/>
              <w:rPr>
                <w:szCs w:val="20"/>
              </w:rPr>
            </w:pPr>
            <w:r>
              <w:rPr>
                <w:szCs w:val="20"/>
              </w:rPr>
              <w:t>ENCARGOS SOCIAIS:</w:t>
            </w:r>
          </w:p>
        </w:tc>
        <w:tc>
          <w:tcPr>
            <w:tcW w:w="2799" w:type="dxa"/>
            <w:gridSpan w:val="2"/>
            <w:tcBorders/>
            <w:shd w:fill="auto" w:val="clear"/>
            <w:tcMar>
              <w:left w:w="108" w:type="dxa"/>
            </w:tcMar>
            <w:vAlign w:val="center"/>
          </w:tcPr>
          <w:p>
            <w:pPr>
              <w:pStyle w:val="Normal"/>
              <w:spacing w:lineRule="auto" w:line="240" w:before="0" w:after="0"/>
              <w:jc w:val="center"/>
              <w:rPr>
                <w:szCs w:val="20"/>
              </w:rPr>
            </w:pPr>
            <w:r>
              <w:rPr>
                <w:szCs w:val="20"/>
              </w:rPr>
              <w:t>114,28 % Horista</w:t>
            </w:r>
          </w:p>
        </w:tc>
        <w:tc>
          <w:tcPr>
            <w:tcW w:w="2797" w:type="dxa"/>
            <w:gridSpan w:val="2"/>
            <w:tcBorders/>
            <w:shd w:color="auto" w:fill="auto" w:val="clear"/>
            <w:tcMar>
              <w:left w:w="108" w:type="dxa"/>
            </w:tcMar>
            <w:vAlign w:val="center"/>
          </w:tcPr>
          <w:p>
            <w:pPr>
              <w:pStyle w:val="Normal"/>
              <w:spacing w:lineRule="auto" w:line="240" w:before="0" w:after="0"/>
              <w:jc w:val="center"/>
              <w:rPr>
                <w:szCs w:val="20"/>
              </w:rPr>
            </w:pPr>
            <w:r>
              <w:rPr>
                <w:szCs w:val="20"/>
              </w:rPr>
              <w:t>71,59 % Mensalista</w:t>
            </w:r>
          </w:p>
        </w:tc>
      </w:tr>
      <w:tr>
        <w:trPr>
          <w:trHeight w:val="382" w:hRule="atLeast"/>
        </w:trPr>
        <w:tc>
          <w:tcPr>
            <w:tcW w:w="2098" w:type="dxa"/>
            <w:tcBorders/>
            <w:shd w:fill="auto" w:val="clear"/>
            <w:tcMar>
              <w:left w:w="108" w:type="dxa"/>
            </w:tcMar>
            <w:vAlign w:val="center"/>
          </w:tcPr>
          <w:p>
            <w:pPr>
              <w:pStyle w:val="Normal"/>
              <w:spacing w:lineRule="auto" w:line="240" w:before="0" w:after="0"/>
              <w:jc w:val="center"/>
              <w:rPr>
                <w:szCs w:val="20"/>
              </w:rPr>
            </w:pPr>
            <w:r>
              <w:rPr>
                <w:szCs w:val="20"/>
              </w:rPr>
              <w:t>OUTROS:</w:t>
            </w:r>
          </w:p>
        </w:tc>
        <w:tc>
          <w:tcPr>
            <w:tcW w:w="2099" w:type="dxa"/>
            <w:gridSpan w:val="2"/>
            <w:tcBorders/>
            <w:shd w:fill="auto" w:val="clear"/>
            <w:tcMar>
              <w:left w:w="108" w:type="dxa"/>
            </w:tcMar>
            <w:vAlign w:val="center"/>
          </w:tcPr>
          <w:p>
            <w:pPr>
              <w:pStyle w:val="Normal"/>
              <w:spacing w:lineRule="auto" w:line="240" w:before="0" w:after="0"/>
              <w:jc w:val="center"/>
              <w:rPr>
                <w:szCs w:val="20"/>
              </w:rPr>
            </w:pPr>
            <w:r>
              <w:rPr>
                <w:szCs w:val="20"/>
              </w:rPr>
              <w:t>PIS: 0,65%</w:t>
            </w:r>
          </w:p>
        </w:tc>
        <w:tc>
          <w:tcPr>
            <w:tcW w:w="2098" w:type="dxa"/>
            <w:gridSpan w:val="2"/>
            <w:tcBorders/>
            <w:shd w:fill="auto" w:val="clear"/>
            <w:tcMar>
              <w:left w:w="108" w:type="dxa"/>
            </w:tcMar>
            <w:vAlign w:val="center"/>
          </w:tcPr>
          <w:p>
            <w:pPr>
              <w:pStyle w:val="Normal"/>
              <w:spacing w:lineRule="auto" w:line="240" w:before="0" w:after="0"/>
              <w:jc w:val="center"/>
              <w:rPr>
                <w:szCs w:val="20"/>
              </w:rPr>
            </w:pPr>
            <w:r>
              <w:rPr>
                <w:szCs w:val="20"/>
              </w:rPr>
              <w:t>COFINS: 3,00%</w:t>
            </w:r>
          </w:p>
        </w:tc>
        <w:tc>
          <w:tcPr>
            <w:tcW w:w="2099" w:type="dxa"/>
            <w:tcBorders/>
            <w:shd w:fill="auto" w:val="clear"/>
            <w:tcMar>
              <w:left w:w="108" w:type="dxa"/>
            </w:tcMar>
            <w:vAlign w:val="center"/>
          </w:tcPr>
          <w:p>
            <w:pPr>
              <w:pStyle w:val="Normal"/>
              <w:spacing w:lineRule="auto" w:line="240" w:before="0" w:after="0"/>
              <w:jc w:val="center"/>
              <w:rPr>
                <w:szCs w:val="20"/>
              </w:rPr>
            </w:pPr>
            <w:r>
              <w:rPr>
                <w:szCs w:val="20"/>
              </w:rPr>
              <w:t>CPRB: 00%</w:t>
            </w:r>
          </w:p>
        </w:tc>
      </w:tr>
    </w:tbl>
    <w:p>
      <w:pPr>
        <w:pStyle w:val="Normal"/>
        <w:rPr>
          <w:szCs w:val="20"/>
        </w:rPr>
      </w:pPr>
      <w:r>
        <w:rPr>
          <w:szCs w:val="20"/>
        </w:rPr>
      </w:r>
    </w:p>
    <w:p>
      <w:pPr>
        <w:pStyle w:val="Ttulo2"/>
        <w:numPr>
          <w:ilvl w:val="1"/>
          <w:numId w:val="2"/>
        </w:numPr>
        <w:rPr/>
      </w:pPr>
      <w:r>
        <w:rPr/>
        <w:t>O orçamento estimado estará disponível permanentemente aos órgãos de controle externo e interno.</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27" w:name="_Toc514937652"/>
      <w:bookmarkStart w:id="28" w:name="_Ref400449100"/>
      <w:bookmarkStart w:id="29" w:name="_Ref399859802"/>
      <w:r>
        <w:rPr>
          <w:szCs w:val="20"/>
        </w:rPr>
        <w:t>PRAZO DE EXECUÇÃO</w:t>
      </w:r>
      <w:bookmarkEnd w:id="27"/>
      <w:bookmarkEnd w:id="28"/>
      <w:bookmarkEnd w:id="29"/>
      <w:r>
        <w:rPr>
          <w:szCs w:val="20"/>
        </w:rPr>
        <w:t xml:space="preserve"> E VIGÊNCIA</w:t>
      </w:r>
    </w:p>
    <w:p>
      <w:pPr>
        <w:pStyle w:val="Normal"/>
        <w:rPr>
          <w:szCs w:val="20"/>
        </w:rPr>
      </w:pPr>
      <w:r>
        <w:rPr>
          <w:szCs w:val="20"/>
        </w:rPr>
      </w:r>
    </w:p>
    <w:p>
      <w:pPr>
        <w:pStyle w:val="Ttulo2"/>
        <w:numPr>
          <w:ilvl w:val="1"/>
          <w:numId w:val="2"/>
        </w:numPr>
        <w:rPr>
          <w:u w:val="single"/>
        </w:rPr>
      </w:pPr>
      <w:r>
        <w:rPr/>
        <w:t xml:space="preserve">O prazo do objeto deste TR será de 12 meses consecutivos, contado </w:t>
      </w:r>
      <w:r>
        <w:rPr>
          <w:u w:val="single"/>
        </w:rPr>
        <w:t>a partir da data de emissão da Ordem de Serviço</w:t>
      </w:r>
      <w:r>
        <w:rPr/>
        <w:t>, podendo ser prorrogado, mediante manifestação expressa das partes.</w:t>
      </w:r>
    </w:p>
    <w:p>
      <w:pPr>
        <w:pStyle w:val="Normal"/>
        <w:rPr>
          <w:szCs w:val="20"/>
        </w:rPr>
      </w:pPr>
      <w:r>
        <w:rPr>
          <w:szCs w:val="20"/>
        </w:rPr>
      </w:r>
    </w:p>
    <w:p>
      <w:pPr>
        <w:pStyle w:val="Ttulo2"/>
        <w:numPr>
          <w:ilvl w:val="1"/>
          <w:numId w:val="2"/>
        </w:numPr>
        <w:rPr/>
      </w:pPr>
      <w:r>
        <w:rPr/>
        <w:t>O prazo para vigência do contrato, contado em dias consecutivos, a partir da data de emissão da Ordem de Serviço, será o prazo de execução do objeto informado acima, acrescido de mais 90 (noventa) dias para expedição do Termo de Encerramento Físico dos serviços, perfazendo um total de 450 (quatrocentos e cinquenta) dias.</w:t>
      </w:r>
    </w:p>
    <w:p>
      <w:pPr>
        <w:pStyle w:val="Ttulo2"/>
        <w:numPr>
          <w:ilvl w:val="0"/>
          <w:numId w:val="0"/>
        </w:numPr>
        <w:ind w:left="426" w:hanging="0"/>
        <w:rPr/>
      </w:pPr>
      <w:r>
        <w:rPr/>
      </w:r>
    </w:p>
    <w:p>
      <w:pPr>
        <w:pStyle w:val="Ttulo2"/>
        <w:numPr>
          <w:ilvl w:val="1"/>
          <w:numId w:val="2"/>
        </w:numPr>
        <w:rPr/>
      </w:pPr>
      <w:r>
        <w:rPr/>
        <w:t>A expedição da “Ordem de Serviço” somente se efetivará após a publicação do extrato do Contrato no “Diário Oficial da União” e entrega das “Garantias de Cumprimento do Contrato e Riscos de Engenharia”, na Unidade de Finanças da Codevasf, e após emissão da Licença de Implantação – LI e da Autorização de Supressão Vegetal – ASV, quando for o caso.</w:t>
      </w:r>
    </w:p>
    <w:p>
      <w:pPr>
        <w:pStyle w:val="Ttulo2"/>
        <w:numPr>
          <w:ilvl w:val="0"/>
          <w:numId w:val="0"/>
        </w:numPr>
        <w:ind w:left="426" w:hanging="0"/>
        <w:rPr/>
      </w:pPr>
      <w:bookmarkStart w:id="30" w:name="_Ref441156019"/>
      <w:bookmarkStart w:id="31" w:name="_Ref441156019"/>
      <w:bookmarkEnd w:id="31"/>
      <w:r>
        <w:rPr/>
      </w:r>
    </w:p>
    <w:p>
      <w:pPr>
        <w:pStyle w:val="Normal"/>
        <w:rPr>
          <w:szCs w:val="20"/>
        </w:rPr>
      </w:pPr>
      <w:r>
        <w:rPr>
          <w:szCs w:val="20"/>
        </w:rPr>
      </w:r>
    </w:p>
    <w:p>
      <w:pPr>
        <w:pStyle w:val="Ttulo1"/>
        <w:numPr>
          <w:ilvl w:val="0"/>
          <w:numId w:val="2"/>
        </w:numPr>
        <w:rPr>
          <w:szCs w:val="20"/>
        </w:rPr>
      </w:pPr>
      <w:bookmarkStart w:id="32" w:name="_Ref399939982"/>
      <w:bookmarkStart w:id="33" w:name="_Toc514937653"/>
      <w:bookmarkEnd w:id="33"/>
      <w:r>
        <w:rPr>
          <w:szCs w:val="20"/>
        </w:rPr>
        <w:t>FORMAS E CONDIÇÕES DE PAGAMENTO</w:t>
      </w:r>
    </w:p>
    <w:p>
      <w:pPr>
        <w:pStyle w:val="Normal"/>
        <w:rPr>
          <w:szCs w:val="20"/>
        </w:rPr>
      </w:pPr>
      <w:r>
        <w:rPr>
          <w:szCs w:val="20"/>
        </w:rPr>
      </w:r>
    </w:p>
    <w:p>
      <w:pPr>
        <w:pStyle w:val="Ttulo2"/>
        <w:numPr>
          <w:ilvl w:val="1"/>
          <w:numId w:val="2"/>
        </w:numPr>
        <w:rPr/>
      </w:pPr>
      <w:r>
        <w:rPr/>
        <w:t>Os pagamentos das obras e serviços de engenharia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pPr>
        <w:pStyle w:val="Normal"/>
        <w:rPr>
          <w:szCs w:val="20"/>
        </w:rPr>
      </w:pPr>
      <w:r>
        <w:rPr>
          <w:szCs w:val="20"/>
        </w:rPr>
      </w:r>
    </w:p>
    <w:p>
      <w:pPr>
        <w:pStyle w:val="Ttulo3"/>
        <w:numPr>
          <w:ilvl w:val="2"/>
          <w:numId w:val="2"/>
        </w:numPr>
        <w:rPr/>
      </w:pPr>
      <w:r>
        <w:rPr/>
        <w:t>A Codevasf somente pagará a CONTRATADA pelos serviços efetivamente executados, com base nos preços integrantes da proposta aprovada e, caso aplicável, a incidência de reajustamento e reequilíbrio econômico financeiro e atualização financeira.</w:t>
      </w:r>
    </w:p>
    <w:p>
      <w:pPr>
        <w:pStyle w:val="Normal"/>
        <w:rPr>
          <w:szCs w:val="20"/>
        </w:rPr>
      </w:pPr>
      <w:r>
        <w:rPr>
          <w:szCs w:val="20"/>
        </w:rPr>
      </w:r>
    </w:p>
    <w:p>
      <w:pPr>
        <w:pStyle w:val="Ttulo3"/>
        <w:numPr>
          <w:ilvl w:val="2"/>
          <w:numId w:val="2"/>
        </w:numPr>
        <w:rPr/>
      </w:pPr>
      <w:r>
        <w:rPr/>
        <w:t>Somente serão pagos os materiais e equipamentos instalados e assentados, mediante atesto pelo fiscal do contrato.</w:t>
      </w:r>
    </w:p>
    <w:p>
      <w:pPr>
        <w:pStyle w:val="Normal"/>
        <w:rPr>
          <w:szCs w:val="20"/>
        </w:rPr>
      </w:pPr>
      <w:r>
        <w:rPr>
          <w:szCs w:val="20"/>
        </w:rPr>
      </w:r>
    </w:p>
    <w:p>
      <w:pPr>
        <w:pStyle w:val="Ttulo3"/>
        <w:numPr>
          <w:ilvl w:val="2"/>
          <w:numId w:val="2"/>
        </w:numPr>
        <w:rPr/>
      </w:pPr>
      <w:r>
        <w:rPr/>
        <w:t>Nos preços apresentados pelo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pPr>
        <w:pStyle w:val="Normal"/>
        <w:rPr>
          <w:szCs w:val="20"/>
        </w:rPr>
      </w:pPr>
      <w:r>
        <w:rPr>
          <w:szCs w:val="20"/>
        </w:rPr>
      </w:r>
    </w:p>
    <w:p>
      <w:pPr>
        <w:pStyle w:val="Ttulo2"/>
        <w:numPr>
          <w:ilvl w:val="1"/>
          <w:numId w:val="2"/>
        </w:numPr>
        <w:rPr/>
      </w:pPr>
      <w:r>
        <w:rPr/>
        <w:t xml:space="preserve">O pagamento da instalação do canteiro, mobilização e desmobilização será no valor apresentado na proposta do Licitante, </w:t>
      </w:r>
      <w:r>
        <w:rPr>
          <w:u w:val="single"/>
        </w:rPr>
        <w:t xml:space="preserve">respeitado o valor máximo estabelecido pelo Subitem </w:t>
      </w:r>
      <w:r>
        <w:rPr>
          <w:u w:val="single"/>
        </w:rPr>
        <w:fldChar w:fldCharType="begin"/>
      </w:r>
      <w:r>
        <w:instrText> REF _Ref515976500 \n \h </w:instrText>
      </w:r>
      <w:r>
        <w:fldChar w:fldCharType="separate"/>
      </w:r>
      <w:r>
        <w:t>7.4</w:t>
      </w:r>
      <w:r>
        <w:fldChar w:fldCharType="end"/>
      </w:r>
      <w:r>
        <w:rPr>
          <w:u w:val="single"/>
        </w:rPr>
        <w:t xml:space="preserve"> deste TR</w:t>
      </w:r>
      <w:r>
        <w:rPr/>
        <w:t>, da seguinte forma:</w:t>
      </w:r>
    </w:p>
    <w:p>
      <w:pPr>
        <w:pStyle w:val="Normal"/>
        <w:rPr>
          <w:szCs w:val="20"/>
        </w:rPr>
      </w:pPr>
      <w:r>
        <w:rPr>
          <w:szCs w:val="20"/>
        </w:rPr>
      </w:r>
    </w:p>
    <w:p>
      <w:pPr>
        <w:pStyle w:val="ListParagraph"/>
        <w:numPr>
          <w:ilvl w:val="1"/>
          <w:numId w:val="9"/>
        </w:numPr>
        <w:rPr>
          <w:szCs w:val="20"/>
        </w:rPr>
      </w:pPr>
      <w:r>
        <w:rPr>
          <w:szCs w:val="20"/>
        </w:rPr>
        <w:t>Instalação do canteiro: devidamente instalado e de acordo com o cronograma físico-financeiro proposto;</w:t>
      </w:r>
    </w:p>
    <w:p>
      <w:pPr>
        <w:pStyle w:val="ListParagraph"/>
        <w:numPr>
          <w:ilvl w:val="1"/>
          <w:numId w:val="9"/>
        </w:numPr>
        <w:rPr>
          <w:szCs w:val="20"/>
        </w:rPr>
      </w:pPr>
      <w:r>
        <w:rPr>
          <w:szCs w:val="20"/>
        </w:rPr>
        <w:t>Mobilização: serão medidos e pagos proporcionalmente ao efetivamente realizado.</w:t>
      </w:r>
    </w:p>
    <w:p>
      <w:pPr>
        <w:pStyle w:val="ListParagraph"/>
        <w:numPr>
          <w:ilvl w:val="1"/>
          <w:numId w:val="9"/>
        </w:numPr>
        <w:rPr>
          <w:szCs w:val="20"/>
        </w:rPr>
      </w:pPr>
      <w:r>
        <w:rPr>
          <w:szCs w:val="20"/>
        </w:rPr>
        <w:t>Desmobilização: após a total desmobilização, comprovada pela Fiscalização.</w:t>
      </w:r>
    </w:p>
    <w:p>
      <w:pPr>
        <w:pStyle w:val="Normal"/>
        <w:rPr>
          <w:szCs w:val="20"/>
        </w:rPr>
      </w:pPr>
      <w:r>
        <w:rPr>
          <w:szCs w:val="20"/>
        </w:rPr>
      </w:r>
    </w:p>
    <w:p>
      <w:pPr>
        <w:pStyle w:val="Ttulo2"/>
        <w:numPr>
          <w:ilvl w:val="1"/>
          <w:numId w:val="2"/>
        </w:numPr>
        <w:rPr/>
      </w:pPr>
      <w:r>
        <w:rP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pPr>
        <w:pStyle w:val="Normal"/>
        <w:rPr>
          <w:szCs w:val="20"/>
        </w:rPr>
      </w:pPr>
      <w:r>
        <w:rPr>
          <w:szCs w:val="20"/>
        </w:rPr>
      </w:r>
    </w:p>
    <w:p>
      <w:pPr>
        <w:pStyle w:val="Normal"/>
        <w:rPr>
          <w:szCs w:val="20"/>
        </w:rPr>
      </w:pPr>
      <w:r>
        <w:rPr>
          <w:szCs w:val="20"/>
        </w:rPr>
      </w:r>
    </w:p>
    <w:p>
      <w:pPr>
        <w:pStyle w:val="Normal"/>
        <w:jc w:val="center"/>
        <w:rPr>
          <w:rFonts w:eastAsia="" w:eastAsiaTheme="minorEastAsia"/>
          <w:szCs w:val="20"/>
        </w:rPr>
      </w:pPr>
      <w:r>
        <w:rPr/>
      </w:r>
      <m:oMath xmlns:m="http://schemas.openxmlformats.org/officeDocument/2006/math">
        <m:r>
          <w:rPr>
            <w:rFonts w:ascii="Cambria Math" w:hAnsi="Cambria Math"/>
          </w:rPr>
          <m:t xml:space="preserve">%AM</m:t>
        </m:r>
        <m:r>
          <w:rPr>
            <w:rFonts w:ascii="Cambria Math" w:hAnsi="Cambria Math"/>
          </w:rPr>
          <m:t xml:space="preserve">=</m:t>
        </m:r>
        <m:f>
          <m:num>
            <m:r>
              <w:rPr>
                <w:rFonts w:ascii="Cambria Math" w:hAnsi="Cambria Math"/>
              </w:rPr>
              <m:t xml:space="preserve">Valor</m:t>
            </m:r>
            <m:r>
              <w:rPr>
                <w:rFonts w:ascii="Cambria Math" w:hAnsi="Cambria Math"/>
              </w:rPr>
              <m:t xml:space="preserve">da</m:t>
            </m:r>
            <m:r>
              <w:rPr>
                <w:rFonts w:ascii="Cambria Math" w:hAnsi="Cambria Math"/>
              </w:rPr>
              <m:t xml:space="preserve">Medição</m:t>
            </m:r>
            <m:r>
              <w:rPr>
                <w:rFonts w:ascii="Cambria Math" w:hAnsi="Cambria Math"/>
              </w:rPr>
              <m:t xml:space="preserve">Sem</m:t>
            </m:r>
            <m:r>
              <w:rPr>
                <w:rFonts w:ascii="Cambria Math" w:hAnsi="Cambria Math"/>
              </w:rPr>
              <m:t xml:space="preserve">AM</m:t>
            </m:r>
          </m:num>
          <m:den>
            <m:r>
              <w:rPr>
                <w:rFonts w:ascii="Cambria Math" w:hAnsi="Cambria Math"/>
              </w:rPr>
              <m:t xml:space="preserve">Valor</m:t>
            </m:r>
            <m:r>
              <w:rPr>
                <w:rFonts w:ascii="Cambria Math" w:hAnsi="Cambria Math"/>
              </w:rPr>
              <m:t xml:space="preserve">do</m:t>
            </m:r>
            <m:r>
              <w:rPr>
                <w:rFonts w:ascii="Cambria Math" w:hAnsi="Cambria Math"/>
              </w:rPr>
              <m:t xml:space="preserve">Contrato</m:t>
            </m:r>
            <m:d>
              <m:dPr>
                <m:begChr m:val="("/>
                <m:endChr m:val=")"/>
              </m:dPr>
              <m:e>
                <m:r>
                  <w:rPr>
                    <w:rFonts w:ascii="Cambria Math" w:hAnsi="Cambria Math"/>
                  </w:rPr>
                  <m:t xml:space="preserve">incluso</m:t>
                </m:r>
                <m:r>
                  <w:rPr>
                    <w:rFonts w:ascii="Cambria Math" w:hAnsi="Cambria Math"/>
                  </w:rPr>
                  <m:t xml:space="preserve">aditivo</m:t>
                </m:r>
                <m:r>
                  <w:rPr>
                    <w:rFonts w:ascii="Cambria Math" w:hAnsi="Cambria Math"/>
                  </w:rPr>
                  <m:t xml:space="preserve">financeiro</m:t>
                </m:r>
              </m:e>
            </m:d>
            <m:r>
              <w:rPr>
                <w:rFonts w:ascii="Cambria Math" w:hAnsi="Cambria Math"/>
              </w:rPr>
              <m:t xml:space="preserve">Sem</m:t>
            </m:r>
            <m:r>
              <w:rPr>
                <w:rFonts w:ascii="Cambria Math" w:hAnsi="Cambria Math"/>
              </w:rPr>
              <m:t xml:space="preserve">AM</m:t>
            </m:r>
          </m:den>
        </m:f>
      </m:oMath>
    </w:p>
    <w:p>
      <w:pPr>
        <w:pStyle w:val="Normal"/>
        <w:jc w:val="center"/>
        <w:rPr>
          <w:rFonts w:eastAsia="" w:eastAsiaTheme="minorEastAsia"/>
          <w:szCs w:val="20"/>
        </w:rPr>
      </w:pPr>
      <w:r>
        <w:rPr>
          <w:rFonts w:eastAsia="" w:eastAsiaTheme="minorEastAsia"/>
          <w:szCs w:val="20"/>
        </w:rPr>
      </w:r>
    </w:p>
    <w:p>
      <w:pPr>
        <w:pStyle w:val="Normal"/>
        <w:rPr>
          <w:szCs w:val="20"/>
        </w:rPr>
      </w:pPr>
      <w:r>
        <w:rPr>
          <w:szCs w:val="20"/>
        </w:rPr>
      </w:r>
    </w:p>
    <w:p>
      <w:pPr>
        <w:pStyle w:val="Ttulo3"/>
        <w:numPr>
          <w:ilvl w:val="2"/>
          <w:numId w:val="2"/>
        </w:numPr>
        <w:rPr/>
      </w:pPr>
      <w:r>
        <w:rP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pPr>
        <w:pStyle w:val="Normal"/>
        <w:rPr>
          <w:szCs w:val="20"/>
        </w:rPr>
      </w:pPr>
      <w:r>
        <w:rPr>
          <w:szCs w:val="20"/>
        </w:rPr>
      </w:r>
    </w:p>
    <w:p>
      <w:pPr>
        <w:pStyle w:val="Ttulo3"/>
        <w:numPr>
          <w:ilvl w:val="2"/>
          <w:numId w:val="2"/>
        </w:numPr>
        <w:rPr/>
      </w:pPr>
      <w:r>
        <w:rPr/>
        <w:t>Caso haja atraso no cronograma, por motivos ocasionados pela Codevasf, será pago o valor total da Administração Local e Manutenção de Canteiro (AL) prevista no período da medição.</w:t>
      </w:r>
    </w:p>
    <w:p>
      <w:pPr>
        <w:pStyle w:val="Ttulo3"/>
        <w:numPr>
          <w:ilvl w:val="0"/>
          <w:numId w:val="0"/>
        </w:numPr>
        <w:ind w:left="426" w:hanging="0"/>
        <w:rPr/>
      </w:pPr>
      <w:r>
        <w:rPr/>
      </w:r>
    </w:p>
    <w:p>
      <w:pPr>
        <w:pStyle w:val="Ttulo3"/>
        <w:numPr>
          <w:ilvl w:val="2"/>
          <w:numId w:val="2"/>
        </w:numPr>
        <w:rPr/>
      </w:pPr>
      <w:r>
        <w:rP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pPr>
        <w:pStyle w:val="Normal"/>
        <w:rPr>
          <w:szCs w:val="20"/>
        </w:rPr>
      </w:pPr>
      <w:r>
        <w:rPr>
          <w:szCs w:val="20"/>
        </w:rPr>
      </w:r>
    </w:p>
    <w:p>
      <w:pPr>
        <w:pStyle w:val="Ttulo2"/>
        <w:numPr>
          <w:ilvl w:val="1"/>
          <w:numId w:val="2"/>
        </w:numPr>
        <w:rPr/>
      </w:pPr>
      <w:r>
        <w:rPr/>
        <w:t>O cronograma físico-financeiro apresentado pelo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pPr>
        <w:pStyle w:val="Normal"/>
        <w:rPr>
          <w:szCs w:val="20"/>
        </w:rPr>
      </w:pPr>
      <w:bookmarkStart w:id="34" w:name="_Ref400008254"/>
      <w:bookmarkStart w:id="35" w:name="_Ref400008254"/>
      <w:bookmarkEnd w:id="35"/>
      <w:r>
        <w:rPr>
          <w:szCs w:val="20"/>
        </w:rPr>
      </w:r>
    </w:p>
    <w:p>
      <w:pPr>
        <w:pStyle w:val="Normal"/>
        <w:rPr>
          <w:szCs w:val="20"/>
        </w:rPr>
      </w:pPr>
      <w:r>
        <w:rPr>
          <w:szCs w:val="20"/>
        </w:rPr>
      </w:r>
    </w:p>
    <w:p>
      <w:pPr>
        <w:pStyle w:val="Ttulo1"/>
        <w:numPr>
          <w:ilvl w:val="0"/>
          <w:numId w:val="2"/>
        </w:numPr>
        <w:rPr>
          <w:szCs w:val="20"/>
        </w:rPr>
      </w:pPr>
      <w:bookmarkStart w:id="36" w:name="_Ref399939982"/>
      <w:bookmarkStart w:id="37" w:name="_Toc514937654"/>
      <w:bookmarkStart w:id="38" w:name="_Ref400457614"/>
      <w:bookmarkEnd w:id="36"/>
      <w:bookmarkEnd w:id="37"/>
      <w:bookmarkEnd w:id="38"/>
      <w:r>
        <w:rPr>
          <w:szCs w:val="20"/>
        </w:rPr>
        <w:t>REAJUSTAMENTO</w:t>
      </w:r>
    </w:p>
    <w:p>
      <w:pPr>
        <w:pStyle w:val="Normal"/>
        <w:rPr>
          <w:szCs w:val="20"/>
        </w:rPr>
      </w:pPr>
      <w:r>
        <w:rPr>
          <w:szCs w:val="20"/>
        </w:rPr>
      </w:r>
    </w:p>
    <w:p>
      <w:pPr>
        <w:pStyle w:val="Ttulo2"/>
        <w:numPr>
          <w:ilvl w:val="1"/>
          <w:numId w:val="2"/>
        </w:numPr>
        <w:rPr/>
      </w:pPr>
      <w:r>
        <w:rPr/>
        <w:t>Os preços permanecerão válidos por um período de um ano, contados da data de apresentação da proposta. Após este prazo serão reajustados aplicando-se a seguinte fórmula (desde que todos os índices tenham a mesma data base):</w:t>
      </w:r>
    </w:p>
    <w:p>
      <w:pPr>
        <w:pStyle w:val="Normal"/>
        <w:rPr>
          <w:rFonts w:eastAsia="" w:eastAsiaTheme="minorEastAsia"/>
          <w:b/>
          <w:b/>
          <w:szCs w:val="20"/>
        </w:rPr>
      </w:pPr>
      <w:r>
        <w:rPr>
          <w:rFonts w:eastAsia="" w:eastAsiaTheme="minorEastAsia"/>
          <w:b/>
          <w:szCs w:val="20"/>
        </w:rPr>
      </w:r>
    </w:p>
    <w:p>
      <w:pPr>
        <w:pStyle w:val="Normal"/>
        <w:rPr>
          <w:rFonts w:eastAsia="" w:eastAsiaTheme="minorEastAsia"/>
          <w:b/>
          <w:b/>
          <w:szCs w:val="20"/>
        </w:rPr>
      </w:pPr>
      <w:r>
        <w:rPr>
          <w:rFonts w:eastAsia="" w:eastAsiaTheme="minorEastAsia"/>
          <w:b/>
          <w:szCs w:val="20"/>
        </w:rPr>
      </w:r>
    </w:p>
    <w:p>
      <w:pPr>
        <w:pStyle w:val="Normal"/>
        <w:rPr>
          <w:szCs w:val="20"/>
        </w:rPr>
      </w:pPr>
      <w:r>
        <w:rPr/>
      </w:r>
      <m:oMath xmlns:m="http://schemas.openxmlformats.org/officeDocument/2006/math">
        <m:r>
          <w:rPr>
            <w:rFonts w:ascii="Cambria Math" w:hAnsi="Cambria Math"/>
          </w:rPr>
          <m:t xml:space="preserve">R</m:t>
        </m:r>
        <m:r>
          <w:rPr>
            <w:rFonts w:ascii="Cambria Math" w:hAnsi="Cambria Math"/>
          </w:rPr>
          <m:t xml:space="preserve">=</m:t>
        </m:r>
        <m:r>
          <w:rPr>
            <w:rFonts w:ascii="Cambria Math" w:hAnsi="Cambria Math"/>
          </w:rPr>
          <m:t xml:space="preserve">V</m:t>
        </m:r>
        <m:r>
          <w:rPr>
            <w:rFonts w:ascii="Cambria Math" w:hAnsi="Cambria Math"/>
          </w:rPr>
          <m:t xml:space="preserve">x</m:t>
        </m:r>
        <m:d>
          <m:dPr>
            <m:begChr m:val="["/>
            <m:endChr m:val="]"/>
          </m:dPr>
          <m:e>
            <m:r>
              <w:rPr>
                <w:rFonts w:ascii="Cambria Math" w:hAnsi="Cambria Math"/>
              </w:rPr>
              <m:t xml:space="preserve">P</m:t>
            </m:r>
            <m:r>
              <w:rPr>
                <w:rFonts w:ascii="Cambria Math" w:hAnsi="Cambria Math"/>
              </w:rPr>
              <m:t xml:space="preserve">1</m:t>
            </m:r>
            <m:r>
              <w:rPr>
                <w:rFonts w:ascii="Cambria Math" w:hAnsi="Cambria Math"/>
              </w:rPr>
              <m:t xml:space="preserve">x</m:t>
            </m:r>
            <m:f>
              <m:num>
                <m:r>
                  <w:rPr>
                    <w:rFonts w:ascii="Cambria Math" w:hAnsi="Cambria Math"/>
                  </w:rPr>
                  <m:t xml:space="preserve">I</m:t>
                </m:r>
                <m:r>
                  <w:rPr>
                    <w:rFonts w:ascii="Cambria Math" w:hAnsi="Cambria Math"/>
                  </w:rPr>
                  <m:t xml:space="preserve">1</m:t>
                </m:r>
                <m:r>
                  <w:rPr>
                    <w:rFonts w:ascii="Cambria Math" w:hAnsi="Cambria Math"/>
                  </w:rPr>
                  <m:t xml:space="preserve">−</m:t>
                </m:r>
                <m:r>
                  <w:rPr>
                    <w:rFonts w:ascii="Cambria Math" w:hAnsi="Cambria Math"/>
                  </w:rPr>
                  <m:t xml:space="preserve">F</m:t>
                </m:r>
                <m:r>
                  <w:rPr>
                    <w:rFonts w:ascii="Cambria Math" w:hAnsi="Cambria Math"/>
                  </w:rPr>
                  <m:t xml:space="preserve">1</m:t>
                </m:r>
              </m:num>
              <m:den>
                <m:r>
                  <w:rPr>
                    <w:rFonts w:ascii="Cambria Math" w:hAnsi="Cambria Math"/>
                  </w:rPr>
                  <m:t xml:space="preserve">I</m:t>
                </m:r>
                <m:r>
                  <w:rPr>
                    <w:rFonts w:ascii="Cambria Math" w:hAnsi="Cambria Math"/>
                  </w:rPr>
                  <m:t xml:space="preserve">1</m:t>
                </m:r>
              </m:den>
            </m:f>
            <m:r>
              <w:rPr>
                <w:rFonts w:ascii="Cambria Math" w:hAnsi="Cambria Math"/>
              </w:rPr>
              <m:t xml:space="preserve">+</m:t>
            </m:r>
            <m:r>
              <w:rPr>
                <w:rFonts w:ascii="Cambria Math" w:hAnsi="Cambria Math"/>
              </w:rPr>
              <m:t xml:space="preserve">P</m:t>
            </m:r>
            <m:r>
              <w:rPr>
                <w:rFonts w:ascii="Cambria Math" w:hAnsi="Cambria Math"/>
              </w:rPr>
              <m:t xml:space="preserve">2</m:t>
            </m:r>
            <m:r>
              <w:rPr>
                <w:rFonts w:ascii="Cambria Math" w:hAnsi="Cambria Math"/>
              </w:rPr>
              <m:t xml:space="preserve">x</m:t>
            </m:r>
            <m:f>
              <m:num>
                <m:r>
                  <w:rPr>
                    <w:rFonts w:ascii="Cambria Math" w:hAnsi="Cambria Math"/>
                  </w:rPr>
                  <m:t xml:space="preserve">I</m:t>
                </m:r>
                <m:r>
                  <w:rPr>
                    <w:rFonts w:ascii="Cambria Math" w:hAnsi="Cambria Math"/>
                  </w:rPr>
                  <m:t xml:space="preserve">2</m:t>
                </m:r>
                <m:r>
                  <w:rPr>
                    <w:rFonts w:ascii="Cambria Math" w:hAnsi="Cambria Math"/>
                  </w:rPr>
                  <m:t xml:space="preserve">−</m:t>
                </m:r>
                <m:r>
                  <w:rPr>
                    <w:rFonts w:ascii="Cambria Math" w:hAnsi="Cambria Math"/>
                  </w:rPr>
                  <m:t xml:space="preserve">F</m:t>
                </m:r>
                <m:r>
                  <w:rPr>
                    <w:rFonts w:ascii="Cambria Math" w:hAnsi="Cambria Math"/>
                  </w:rPr>
                  <m:t xml:space="preserve">2</m:t>
                </m:r>
              </m:num>
              <m:den>
                <m:r>
                  <w:rPr>
                    <w:rFonts w:ascii="Cambria Math" w:hAnsi="Cambria Math"/>
                  </w:rPr>
                  <m:t xml:space="preserve">I</m:t>
                </m:r>
                <m:r>
                  <w:rPr>
                    <w:rFonts w:ascii="Cambria Math" w:hAnsi="Cambria Math"/>
                  </w:rPr>
                  <m:t xml:space="preserve">2</m:t>
                </m:r>
              </m:den>
            </m:f>
            <m:r>
              <w:rPr>
                <w:rFonts w:ascii="Cambria Math" w:hAnsi="Cambria Math"/>
              </w:rPr>
              <m:t xml:space="preserve">+</m:t>
            </m:r>
            <m:r>
              <w:rPr>
                <w:rFonts w:ascii="Cambria Math" w:hAnsi="Cambria Math"/>
              </w:rPr>
              <m:t xml:space="preserve">P</m:t>
            </m:r>
            <m:r>
              <w:rPr>
                <w:rFonts w:ascii="Cambria Math" w:hAnsi="Cambria Math"/>
              </w:rPr>
              <m:t xml:space="preserve">3</m:t>
            </m:r>
            <m:r>
              <w:rPr>
                <w:rFonts w:ascii="Cambria Math" w:hAnsi="Cambria Math"/>
              </w:rPr>
              <m:t xml:space="preserve">x</m:t>
            </m:r>
            <m:f>
              <m:num>
                <m:r>
                  <w:rPr>
                    <w:rFonts w:ascii="Cambria Math" w:hAnsi="Cambria Math"/>
                  </w:rPr>
                  <m:t xml:space="preserve">I</m:t>
                </m:r>
                <m:r>
                  <w:rPr>
                    <w:rFonts w:ascii="Cambria Math" w:hAnsi="Cambria Math"/>
                  </w:rPr>
                  <m:t xml:space="preserve">3</m:t>
                </m:r>
                <m:r>
                  <w:rPr>
                    <w:rFonts w:ascii="Cambria Math" w:hAnsi="Cambria Math"/>
                  </w:rPr>
                  <m:t xml:space="preserve">−</m:t>
                </m:r>
                <m:r>
                  <w:rPr>
                    <w:rFonts w:ascii="Cambria Math" w:hAnsi="Cambria Math"/>
                  </w:rPr>
                  <m:t xml:space="preserve">F</m:t>
                </m:r>
                <m:r>
                  <w:rPr>
                    <w:rFonts w:ascii="Cambria Math" w:hAnsi="Cambria Math"/>
                  </w:rPr>
                  <m:t xml:space="preserve">3</m:t>
                </m:r>
              </m:num>
              <m:den>
                <m:r>
                  <w:rPr>
                    <w:rFonts w:ascii="Cambria Math" w:hAnsi="Cambria Math"/>
                  </w:rPr>
                  <m:t xml:space="preserve">I</m:t>
                </m:r>
                <m:r>
                  <w:rPr>
                    <w:rFonts w:ascii="Cambria Math" w:hAnsi="Cambria Math"/>
                  </w:rPr>
                  <m:t xml:space="preserve">3</m:t>
                </m:r>
              </m:den>
            </m:f>
            <m:r>
              <w:rPr>
                <w:rFonts w:ascii="Cambria Math" w:hAnsi="Cambria Math"/>
              </w:rPr>
              <m:t xml:space="preserve">+</m:t>
            </m:r>
            <m:r>
              <w:rPr>
                <w:rFonts w:ascii="Cambria Math" w:hAnsi="Cambria Math"/>
              </w:rPr>
              <m:t xml:space="preserve">P</m:t>
            </m:r>
            <m:r>
              <w:rPr>
                <w:rFonts w:ascii="Cambria Math" w:hAnsi="Cambria Math"/>
              </w:rPr>
              <m:t xml:space="preserve">4</m:t>
            </m:r>
            <m:r>
              <w:rPr>
                <w:rFonts w:ascii="Cambria Math" w:hAnsi="Cambria Math"/>
              </w:rPr>
              <m:t xml:space="preserve">x</m:t>
            </m:r>
            <m:f>
              <m:num>
                <m:r>
                  <w:rPr>
                    <w:rFonts w:ascii="Cambria Math" w:hAnsi="Cambria Math"/>
                  </w:rPr>
                  <m:t xml:space="preserve">I</m:t>
                </m:r>
                <m:r>
                  <w:rPr>
                    <w:rFonts w:ascii="Cambria Math" w:hAnsi="Cambria Math"/>
                  </w:rPr>
                  <m:t xml:space="preserve">4</m:t>
                </m:r>
                <m:r>
                  <w:rPr>
                    <w:rFonts w:ascii="Cambria Math" w:hAnsi="Cambria Math"/>
                  </w:rPr>
                  <m:t xml:space="preserve">−</m:t>
                </m:r>
                <m:r>
                  <w:rPr>
                    <w:rFonts w:ascii="Cambria Math" w:hAnsi="Cambria Math"/>
                  </w:rPr>
                  <m:t xml:space="preserve">F</m:t>
                </m:r>
                <m:r>
                  <w:rPr>
                    <w:rFonts w:ascii="Cambria Math" w:hAnsi="Cambria Math"/>
                  </w:rPr>
                  <m:t xml:space="preserve">4</m:t>
                </m:r>
              </m:num>
              <m:den>
                <m:r>
                  <w:rPr>
                    <w:rFonts w:ascii="Cambria Math" w:hAnsi="Cambria Math"/>
                  </w:rPr>
                  <m:t xml:space="preserve">I</m:t>
                </m:r>
                <m:r>
                  <w:rPr>
                    <w:rFonts w:ascii="Cambria Math" w:hAnsi="Cambria Math"/>
                  </w:rPr>
                  <m:t xml:space="preserve">4</m:t>
                </m:r>
              </m:den>
            </m:f>
            <m:r>
              <w:rPr>
                <w:rFonts w:ascii="Cambria Math" w:hAnsi="Cambria Math"/>
              </w:rPr>
              <m:t xml:space="preserve">+</m:t>
            </m:r>
            <m:r>
              <w:rPr>
                <w:rFonts w:ascii="Cambria Math" w:hAnsi="Cambria Math"/>
              </w:rPr>
              <m:t xml:space="preserve">P</m:t>
            </m:r>
            <m:r>
              <w:rPr>
                <w:rFonts w:ascii="Cambria Math" w:hAnsi="Cambria Math"/>
              </w:rPr>
              <m:t xml:space="preserve">5</m:t>
            </m:r>
            <m:r>
              <w:rPr>
                <w:rFonts w:ascii="Cambria Math" w:hAnsi="Cambria Math"/>
              </w:rPr>
              <m:t xml:space="preserve">x</m:t>
            </m:r>
            <m:f>
              <m:num>
                <m:r>
                  <w:rPr>
                    <w:rFonts w:ascii="Cambria Math" w:hAnsi="Cambria Math"/>
                  </w:rPr>
                  <m:t xml:space="preserve">I</m:t>
                </m:r>
                <m:r>
                  <w:rPr>
                    <w:rFonts w:ascii="Cambria Math" w:hAnsi="Cambria Math"/>
                  </w:rPr>
                  <m:t xml:space="preserve">5</m:t>
                </m:r>
                <m:r>
                  <w:rPr>
                    <w:rFonts w:ascii="Cambria Math" w:hAnsi="Cambria Math"/>
                  </w:rPr>
                  <m:t xml:space="preserve">−</m:t>
                </m:r>
                <m:r>
                  <w:rPr>
                    <w:rFonts w:ascii="Cambria Math" w:hAnsi="Cambria Math"/>
                  </w:rPr>
                  <m:t xml:space="preserve">F</m:t>
                </m:r>
                <m:r>
                  <w:rPr>
                    <w:rFonts w:ascii="Cambria Math" w:hAnsi="Cambria Math"/>
                  </w:rPr>
                  <m:t xml:space="preserve">5</m:t>
                </m:r>
              </m:num>
              <m:den>
                <m:r>
                  <w:rPr>
                    <w:rFonts w:ascii="Cambria Math" w:hAnsi="Cambria Math"/>
                  </w:rPr>
                  <m:t xml:space="preserve">I</m:t>
                </m:r>
                <m:r>
                  <w:rPr>
                    <w:rFonts w:ascii="Cambria Math" w:hAnsi="Cambria Math"/>
                  </w:rPr>
                  <m:t xml:space="preserve">5</m:t>
                </m:r>
              </m:den>
            </m:f>
            <m:r>
              <w:rPr>
                <w:rFonts w:ascii="Cambria Math" w:hAnsi="Cambria Math"/>
              </w:rPr>
              <m:t xml:space="preserve">+</m:t>
            </m:r>
            <m:r>
              <w:rPr>
                <w:rFonts w:ascii="Cambria Math" w:hAnsi="Cambria Math"/>
              </w:rPr>
              <m:t xml:space="preserve">P</m:t>
            </m:r>
            <m:r>
              <w:rPr>
                <w:rFonts w:ascii="Cambria Math" w:hAnsi="Cambria Math"/>
              </w:rPr>
              <m:t xml:space="preserve">6</m:t>
            </m:r>
            <m:r>
              <w:rPr>
                <w:rFonts w:ascii="Cambria Math" w:hAnsi="Cambria Math"/>
              </w:rPr>
              <m:t xml:space="preserve">x</m:t>
            </m:r>
            <m:f>
              <m:num>
                <m:r>
                  <w:rPr>
                    <w:rFonts w:ascii="Cambria Math" w:hAnsi="Cambria Math"/>
                  </w:rPr>
                  <m:t xml:space="preserve">I</m:t>
                </m:r>
                <m:r>
                  <w:rPr>
                    <w:rFonts w:ascii="Cambria Math" w:hAnsi="Cambria Math"/>
                  </w:rPr>
                  <m:t xml:space="preserve">6</m:t>
                </m:r>
                <m:r>
                  <w:rPr>
                    <w:rFonts w:ascii="Cambria Math" w:hAnsi="Cambria Math"/>
                  </w:rPr>
                  <m:t xml:space="preserve">−</m:t>
                </m:r>
                <m:r>
                  <w:rPr>
                    <w:rFonts w:ascii="Cambria Math" w:hAnsi="Cambria Math"/>
                  </w:rPr>
                  <m:t xml:space="preserve">F</m:t>
                </m:r>
                <m:r>
                  <w:rPr>
                    <w:rFonts w:ascii="Cambria Math" w:hAnsi="Cambria Math"/>
                  </w:rPr>
                  <m:t xml:space="preserve">6</m:t>
                </m:r>
              </m:num>
              <m:den>
                <m:r>
                  <w:rPr>
                    <w:rFonts w:ascii="Cambria Math" w:hAnsi="Cambria Math"/>
                  </w:rPr>
                  <m:t xml:space="preserve">I</m:t>
                </m:r>
                <m:r>
                  <w:rPr>
                    <w:rFonts w:ascii="Cambria Math" w:hAnsi="Cambria Math"/>
                  </w:rPr>
                  <m:t xml:space="preserve">6</m:t>
                </m:r>
              </m:den>
            </m:f>
          </m:e>
        </m:d>
      </m:oMath>
    </w:p>
    <w:p>
      <w:pPr>
        <w:pStyle w:val="Normal"/>
        <w:rPr>
          <w:szCs w:val="20"/>
        </w:rPr>
      </w:pPr>
      <w:r>
        <w:rPr>
          <w:szCs w:val="20"/>
        </w:rPr>
      </w:r>
    </w:p>
    <w:p>
      <w:pPr>
        <w:pStyle w:val="Normal"/>
        <w:rPr>
          <w:szCs w:val="20"/>
        </w:rPr>
      </w:pPr>
      <w:r>
        <w:rPr>
          <w:szCs w:val="20"/>
        </w:rPr>
        <w:t>Onde:</w:t>
      </w:r>
    </w:p>
    <w:p>
      <w:pPr>
        <w:pStyle w:val="ListParagraph"/>
        <w:numPr>
          <w:ilvl w:val="0"/>
          <w:numId w:val="5"/>
        </w:numPr>
        <w:rPr>
          <w:szCs w:val="20"/>
        </w:rPr>
      </w:pPr>
      <w:r>
        <w:rPr>
          <w:szCs w:val="20"/>
        </w:rPr>
        <w:t>R: valor do reajustamento</w:t>
      </w:r>
    </w:p>
    <w:p>
      <w:pPr>
        <w:pStyle w:val="ListParagraph"/>
        <w:numPr>
          <w:ilvl w:val="0"/>
          <w:numId w:val="5"/>
        </w:numPr>
        <w:rPr>
          <w:szCs w:val="20"/>
        </w:rPr>
      </w:pPr>
      <w:r>
        <w:rPr>
          <w:szCs w:val="20"/>
        </w:rPr>
        <w:t>V: valor a ser reajustado</w:t>
      </w:r>
    </w:p>
    <w:p>
      <w:pPr>
        <w:pStyle w:val="ListParagraph"/>
        <w:numPr>
          <w:ilvl w:val="0"/>
          <w:numId w:val="5"/>
        </w:numPr>
        <w:rPr>
          <w:szCs w:val="20"/>
        </w:rPr>
      </w:pPr>
      <w:r>
        <w:rPr>
          <w:szCs w:val="20"/>
        </w:rPr>
      </w:r>
    </w:p>
    <w:p>
      <w:pPr>
        <w:pStyle w:val="ListParagraph"/>
        <w:numPr>
          <w:ilvl w:val="0"/>
          <w:numId w:val="5"/>
        </w:numPr>
        <w:rPr>
          <w:szCs w:val="20"/>
        </w:rPr>
      </w:pPr>
      <w:r>
        <w:rPr>
          <w:szCs w:val="20"/>
        </w:rPr>
        <w:t xml:space="preserve">P1: peso da coluna 159 665 - FGV – ESTRUTURAS DE OBRAS EM CONCRETO ARMADO, obtida na tabela de referencia, item 12.3. </w:t>
      </w:r>
    </w:p>
    <w:p>
      <w:pPr>
        <w:pStyle w:val="ListParagraph"/>
        <w:numPr>
          <w:ilvl w:val="0"/>
          <w:numId w:val="5"/>
        </w:numPr>
        <w:rPr>
          <w:szCs w:val="20"/>
        </w:rPr>
      </w:pPr>
      <w:r>
        <w:rPr>
          <w:szCs w:val="20"/>
        </w:rPr>
        <w:t xml:space="preserve">P2: peso da coluna 1 004 894 - FGV – INCC – MÃO DE OBRA- MÃO DE OBRA, obtida na tabela de referencia, item 12.3. </w:t>
      </w:r>
    </w:p>
    <w:p>
      <w:pPr>
        <w:pStyle w:val="ListParagraph"/>
        <w:numPr>
          <w:ilvl w:val="0"/>
          <w:numId w:val="5"/>
        </w:numPr>
        <w:rPr>
          <w:szCs w:val="20"/>
        </w:rPr>
      </w:pPr>
      <w:r>
        <w:rPr>
          <w:szCs w:val="20"/>
        </w:rPr>
        <w:t>P3: peso da coluna 160 868 - FGV ÍNDICE NACIONAL DO CUSTO DA CONSTRUÇÃO, obtida na tabela de referencia, item 12.3.</w:t>
      </w:r>
    </w:p>
    <w:p>
      <w:pPr>
        <w:pStyle w:val="ListParagraph"/>
        <w:numPr>
          <w:ilvl w:val="0"/>
          <w:numId w:val="5"/>
        </w:numPr>
        <w:rPr>
          <w:szCs w:val="20"/>
        </w:rPr>
      </w:pPr>
      <w:r>
        <w:rPr>
          <w:szCs w:val="20"/>
        </w:rPr>
        <w:t>P4: peso da coluna 160 086 -FGV – OBRAS HIDRELÉTRICAS – ESCAVAÇÃO - COMUM, obtida na tabela de referencia, item 12.3.</w:t>
      </w:r>
    </w:p>
    <w:p>
      <w:pPr>
        <w:pStyle w:val="ListParagraph"/>
        <w:numPr>
          <w:ilvl w:val="0"/>
          <w:numId w:val="5"/>
        </w:numPr>
        <w:rPr>
          <w:szCs w:val="20"/>
        </w:rPr>
      </w:pPr>
      <w:r>
        <w:rPr>
          <w:szCs w:val="20"/>
        </w:rPr>
        <w:t>P5: peso da coluna 1 420 741 - FGV – PROD. IND. – IND. TRANSF. - ARTIGOS DE BORRACHA E DE MATERIAL PLÁSTICO, obtida na tabela de referencia, item 12.3.</w:t>
      </w:r>
    </w:p>
    <w:p>
      <w:pPr>
        <w:pStyle w:val="ListParagraph"/>
        <w:numPr>
          <w:ilvl w:val="0"/>
          <w:numId w:val="5"/>
        </w:numPr>
        <w:rPr>
          <w:szCs w:val="20"/>
        </w:rPr>
      </w:pPr>
      <w:r>
        <w:rPr>
          <w:szCs w:val="20"/>
        </w:rPr>
        <w:t>P6: peso da coluna 157 956 -FGV – TERRAPLENAGEM, na tabela de referencia, item 12.3.</w:t>
      </w:r>
    </w:p>
    <w:p>
      <w:pPr>
        <w:pStyle w:val="Normal"/>
        <w:rPr>
          <w:szCs w:val="20"/>
        </w:rPr>
      </w:pPr>
      <w:r>
        <w:rPr>
          <w:szCs w:val="20"/>
        </w:rPr>
      </w:r>
    </w:p>
    <w:p>
      <w:pPr>
        <w:pStyle w:val="ListParagraph"/>
        <w:numPr>
          <w:ilvl w:val="0"/>
          <w:numId w:val="5"/>
        </w:numPr>
        <w:rPr>
          <w:szCs w:val="20"/>
        </w:rPr>
      </w:pPr>
      <w:r>
        <w:rPr>
          <w:szCs w:val="20"/>
        </w:rPr>
        <w:t xml:space="preserve">l1: Índice da coluna 159 665 - FGV – ESTRUTURAS DE OBRAS EM CONCRETO ARMADO, referente à data da proposta. </w:t>
      </w:r>
    </w:p>
    <w:p>
      <w:pPr>
        <w:pStyle w:val="Normal"/>
        <w:ind w:left="720" w:hanging="0"/>
        <w:rPr>
          <w:szCs w:val="20"/>
        </w:rPr>
      </w:pPr>
      <w:r>
        <w:rPr>
          <w:szCs w:val="20"/>
        </w:rPr>
        <w:t xml:space="preserve">I2: Índice da coluna 1 004 894 - FGV – INCC – MÃO DE OBRA- MÃO DE OBRA, referente à data da proposta </w:t>
      </w:r>
    </w:p>
    <w:p>
      <w:pPr>
        <w:pStyle w:val="ListParagraph"/>
        <w:numPr>
          <w:ilvl w:val="0"/>
          <w:numId w:val="5"/>
        </w:numPr>
        <w:rPr>
          <w:szCs w:val="20"/>
        </w:rPr>
      </w:pPr>
      <w:r>
        <w:rPr>
          <w:szCs w:val="20"/>
        </w:rPr>
        <w:t>I3: Índice da coluna 160 868 - FGV ÍNDICE NACIONAL DO CUSTO DA CONSTRUÇÃO, referente à data da proposta.</w:t>
      </w:r>
    </w:p>
    <w:p>
      <w:pPr>
        <w:pStyle w:val="ListParagraph"/>
        <w:numPr>
          <w:ilvl w:val="0"/>
          <w:numId w:val="5"/>
        </w:numPr>
        <w:rPr>
          <w:szCs w:val="20"/>
        </w:rPr>
      </w:pPr>
      <w:r>
        <w:rPr>
          <w:szCs w:val="20"/>
        </w:rPr>
        <w:t>I4: Índice da coluna 160 086 -FGV – OBRAS HIDRELÉTRICAS – ESCAVAÇÃO - COMUM, referente à data da proposta.</w:t>
      </w:r>
    </w:p>
    <w:p>
      <w:pPr>
        <w:pStyle w:val="ListParagraph"/>
        <w:numPr>
          <w:ilvl w:val="0"/>
          <w:numId w:val="5"/>
        </w:numPr>
        <w:rPr>
          <w:szCs w:val="20"/>
        </w:rPr>
      </w:pPr>
      <w:r>
        <w:rPr>
          <w:szCs w:val="20"/>
        </w:rPr>
        <w:t xml:space="preserve">I5: Índice da coluna 1 420 741 - FGV – PROD. IND. – IND. TRANSF. - ARTIGOS DE BORRACHA E DE MATERIAL PLÁSTICO, obtida na tabela de referencia, item 12.3. </w:t>
      </w:r>
    </w:p>
    <w:p>
      <w:pPr>
        <w:pStyle w:val="ListParagraph"/>
        <w:numPr>
          <w:ilvl w:val="0"/>
          <w:numId w:val="5"/>
        </w:numPr>
        <w:rPr>
          <w:szCs w:val="20"/>
        </w:rPr>
      </w:pPr>
      <w:r>
        <w:rPr>
          <w:szCs w:val="20"/>
        </w:rPr>
        <w:t>I6: Índice da coluna 157 956 -FGV – TERRAPLENAGEM, referente à data da proposta.</w:t>
      </w:r>
    </w:p>
    <w:p>
      <w:pPr>
        <w:pStyle w:val="Normal"/>
        <w:rPr>
          <w:szCs w:val="20"/>
        </w:rPr>
      </w:pPr>
      <w:r>
        <w:rPr>
          <w:szCs w:val="20"/>
        </w:rPr>
      </w:r>
    </w:p>
    <w:p>
      <w:pPr>
        <w:pStyle w:val="ListParagraph"/>
        <w:numPr>
          <w:ilvl w:val="0"/>
          <w:numId w:val="5"/>
        </w:numPr>
        <w:rPr>
          <w:szCs w:val="20"/>
        </w:rPr>
      </w:pPr>
      <w:r>
        <w:rPr>
          <w:szCs w:val="20"/>
        </w:rPr>
        <w:t>F1: Índice da coluna 159 665 - FGV – ESTRUTURAS DE OBRAS EM CONCRETO ARMADO, referente à data de reajustamento.</w:t>
      </w:r>
    </w:p>
    <w:p>
      <w:pPr>
        <w:pStyle w:val="Normal"/>
        <w:ind w:left="720" w:hanging="0"/>
        <w:rPr>
          <w:szCs w:val="20"/>
        </w:rPr>
      </w:pPr>
      <w:r>
        <w:rPr>
          <w:szCs w:val="20"/>
        </w:rPr>
        <w:t xml:space="preserve">F2: Índice da coluna 1 004 894 - FGV – INCC – MÃO DE OBRA- MÃO DE OBRA, referente à data de reajustamento. </w:t>
      </w:r>
    </w:p>
    <w:p>
      <w:pPr>
        <w:pStyle w:val="ListParagraph"/>
        <w:numPr>
          <w:ilvl w:val="0"/>
          <w:numId w:val="5"/>
        </w:numPr>
        <w:rPr>
          <w:szCs w:val="20"/>
        </w:rPr>
      </w:pPr>
      <w:r>
        <w:rPr>
          <w:szCs w:val="20"/>
        </w:rPr>
        <w:t>F3: Índice da coluna 160 868 - FGV ÍNDICE NACIONAL DO CUSTO DA CONSTRUÇÃO, referente à data de reajustamento.</w:t>
      </w:r>
    </w:p>
    <w:p>
      <w:pPr>
        <w:pStyle w:val="ListParagraph"/>
        <w:numPr>
          <w:ilvl w:val="0"/>
          <w:numId w:val="5"/>
        </w:numPr>
        <w:rPr>
          <w:szCs w:val="20"/>
        </w:rPr>
      </w:pPr>
      <w:r>
        <w:rPr>
          <w:szCs w:val="20"/>
        </w:rPr>
        <w:t>F4: Índice da coluna 160 086 -FGV – OBRAS HIDRELÉTRICAS – ESCAVAÇÃO - COMUM, referente à data de reajustamento.</w:t>
      </w:r>
    </w:p>
    <w:p>
      <w:pPr>
        <w:pStyle w:val="ListParagraph"/>
        <w:numPr>
          <w:ilvl w:val="0"/>
          <w:numId w:val="5"/>
        </w:numPr>
        <w:rPr>
          <w:szCs w:val="20"/>
        </w:rPr>
      </w:pPr>
      <w:r>
        <w:rPr>
          <w:szCs w:val="20"/>
        </w:rPr>
        <w:t>F5: Índice da coluna 1 420 741 - FGV – PROD. IND. – IND. TRANSF. - ARTIGOS DE BORRACHA E DE MATERIAL PLÁSTICO, referente à data de reajustamento.</w:t>
      </w:r>
    </w:p>
    <w:p>
      <w:pPr>
        <w:pStyle w:val="ListParagraph"/>
        <w:numPr>
          <w:ilvl w:val="0"/>
          <w:numId w:val="5"/>
        </w:numPr>
        <w:rPr>
          <w:szCs w:val="20"/>
        </w:rPr>
      </w:pPr>
      <w:r>
        <w:rPr>
          <w:szCs w:val="20"/>
        </w:rPr>
        <w:t>F6: Índice da coluna 157 956 -FGV – TERRAPLENAGEM, referente à data de reajustamento.</w:t>
      </w:r>
    </w:p>
    <w:p>
      <w:pPr>
        <w:pStyle w:val="Normal"/>
        <w:rPr>
          <w:szCs w:val="20"/>
        </w:rPr>
      </w:pPr>
      <w:r>
        <w:rPr>
          <w:szCs w:val="20"/>
        </w:rPr>
      </w:r>
    </w:p>
    <w:p>
      <w:pPr>
        <w:pStyle w:val="Ttulo2"/>
        <w:numPr>
          <w:ilvl w:val="1"/>
          <w:numId w:val="2"/>
        </w:numPr>
        <w:rPr/>
      </w:pPr>
      <w:r>
        <w:rPr/>
        <w:t>Caso haja mudança de data base nestes índices, deve-se primeiro calcular o valor do índice na data base original utilizando-se a seguinte fórmula:</w:t>
      </w:r>
    </w:p>
    <w:p>
      <w:pPr>
        <w:pStyle w:val="Normal"/>
        <w:rPr>
          <w:szCs w:val="20"/>
        </w:rPr>
      </w:pPr>
      <w:r>
        <w:rPr>
          <w:szCs w:val="20"/>
        </w:rPr>
      </w:r>
    </w:p>
    <w:p>
      <w:pPr>
        <w:pStyle w:val="Normal"/>
        <w:rPr>
          <w:szCs w:val="20"/>
          <w:lang w:eastAsia="pt-BR"/>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2</m:t>
            </m:r>
          </m:sup>
        </m:sSubSup>
        <m:r>
          <w:rPr>
            <w:rFonts w:ascii="Cambria Math" w:hAnsi="Cambria Math"/>
          </w:rPr>
          <m:t xml:space="preserve">=</m:t>
        </m:r>
        <m:f>
          <m:num>
            <m:sSubSup>
              <m:e>
                <m:r>
                  <w:rPr>
                    <w:rFonts w:ascii="Cambria Math" w:hAnsi="Cambria Math"/>
                  </w:rPr>
                  <m:t xml:space="preserve">I</m:t>
                </m:r>
              </m:e>
              <m:sub>
                <m:r>
                  <w:rPr>
                    <w:rFonts w:ascii="Cambria Math" w:hAnsi="Cambria Math"/>
                  </w:rPr>
                  <m:t xml:space="preserve">DB</m:t>
                </m:r>
                <m:r>
                  <w:rPr>
                    <w:rFonts w:ascii="Cambria Math" w:hAnsi="Cambria Math"/>
                  </w:rPr>
                  <m:t xml:space="preserve">2</m:t>
                </m:r>
              </m:sub>
              <m:sup>
                <m:r>
                  <w:rPr>
                    <w:rFonts w:ascii="Cambria Math" w:hAnsi="Cambria Math"/>
                  </w:rPr>
                  <m:t xml:space="preserve">Mês</m:t>
                </m:r>
                <m:r>
                  <w:rPr>
                    <w:rFonts w:ascii="Cambria Math" w:hAnsi="Cambria Math"/>
                  </w:rPr>
                  <m:t xml:space="preserve">2</m:t>
                </m:r>
              </m:sup>
            </m:sSubSup>
            <m:r>
              <w:rPr>
                <w:rFonts w:ascii="Cambria Math" w:hAnsi="Cambria Math"/>
              </w:rPr>
              <m:t xml:space="preserve">×</m:t>
            </m:r>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1</m:t>
                </m:r>
              </m:sup>
            </m:sSubSup>
          </m:num>
          <m:den>
            <m:r>
              <w:rPr>
                <w:rFonts w:ascii="Cambria Math" w:hAnsi="Cambria Math"/>
              </w:rPr>
              <m:t xml:space="preserve">100</m:t>
            </m:r>
          </m:den>
        </m:f>
      </m:oMath>
    </w:p>
    <w:p>
      <w:pPr>
        <w:pStyle w:val="Normal"/>
        <w:rPr>
          <w:szCs w:val="20"/>
        </w:rPr>
      </w:pPr>
      <w:r>
        <w:rPr>
          <w:szCs w:val="20"/>
        </w:rPr>
      </w:r>
    </w:p>
    <w:p>
      <w:pPr>
        <w:pStyle w:val="Normal"/>
        <w:rPr>
          <w:szCs w:val="20"/>
        </w:rPr>
      </w:pPr>
      <w:r>
        <w:rPr>
          <w:szCs w:val="20"/>
        </w:rPr>
        <w:t>Sendo:</w:t>
      </w:r>
    </w:p>
    <w:p>
      <w:pPr>
        <w:pStyle w:val="ListParagraph"/>
        <w:numPr>
          <w:ilvl w:val="0"/>
          <w:numId w:val="3"/>
        </w:numPr>
        <w:rPr>
          <w:szCs w:val="20"/>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2</m:t>
            </m:r>
          </m:sup>
        </m:sSubSup>
      </m:oMath>
      <w:r>
        <w:rPr>
          <w:szCs w:val="20"/>
        </w:rPr>
        <w:t xml:space="preserve"> </w:t>
      </w:r>
      <w:r>
        <w:rPr>
          <w:szCs w:val="20"/>
        </w:rPr>
        <w:t>= Valor desejado. Índice do mês de reajuste com data base original.</w:t>
      </w:r>
    </w:p>
    <w:p>
      <w:pPr>
        <w:pStyle w:val="ListParagraph"/>
        <w:numPr>
          <w:ilvl w:val="0"/>
          <w:numId w:val="3"/>
        </w:numPr>
        <w:rPr>
          <w:szCs w:val="20"/>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2</m:t>
            </m:r>
          </m:sub>
          <m:sup>
            <m:r>
              <w:rPr>
                <w:rFonts w:ascii="Cambria Math" w:hAnsi="Cambria Math"/>
              </w:rPr>
              <m:t xml:space="preserve">Mês</m:t>
            </m:r>
            <m:r>
              <w:rPr>
                <w:rFonts w:ascii="Cambria Math" w:hAnsi="Cambria Math"/>
              </w:rPr>
              <m:t xml:space="preserve">2</m:t>
            </m:r>
          </m:sup>
        </m:sSubSup>
      </m:oMath>
      <w:r>
        <w:rPr>
          <w:szCs w:val="20"/>
        </w:rPr>
        <w:t xml:space="preserve"> </w:t>
      </w:r>
      <w:r>
        <w:rPr>
          <w:szCs w:val="20"/>
        </w:rPr>
        <w:t>= Índice do mês de reajuste com a nova data base.</w:t>
      </w:r>
    </w:p>
    <w:p>
      <w:pPr>
        <w:pStyle w:val="ListParagraph"/>
        <w:numPr>
          <w:ilvl w:val="0"/>
          <w:numId w:val="3"/>
        </w:numPr>
        <w:rPr>
          <w:szCs w:val="20"/>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1</m:t>
            </m:r>
          </m:sup>
        </m:sSubSup>
      </m:oMath>
      <w:r>
        <w:rPr>
          <w:szCs w:val="20"/>
        </w:rPr>
        <w:t xml:space="preserve"> </w:t>
      </w:r>
      <w:r>
        <w:rPr>
          <w:szCs w:val="20"/>
        </w:rPr>
        <w:t>= Índice do mês em que mudou a tabela, na data base original.</w:t>
      </w:r>
    </w:p>
    <w:p>
      <w:pPr>
        <w:pStyle w:val="Normal"/>
        <w:rPr>
          <w:szCs w:val="20"/>
        </w:rPr>
      </w:pPr>
      <w:r>
        <w:rPr>
          <w:szCs w:val="20"/>
        </w:rPr>
      </w:r>
    </w:p>
    <w:p>
      <w:pPr>
        <w:pStyle w:val="Ttulo2"/>
        <w:numPr>
          <w:ilvl w:val="1"/>
          <w:numId w:val="2"/>
        </w:numPr>
        <w:rPr/>
      </w:pPr>
      <w:r>
        <w:rPr/>
        <w:t>Os valores a serem considerados, referentes aos fatores N1, N2, N3, N4, N5 e N6 são apresentados abaixo:</w:t>
      </w:r>
    </w:p>
    <w:p>
      <w:pPr>
        <w:pStyle w:val="Normal"/>
        <w:rPr>
          <w:szCs w:val="20"/>
        </w:rPr>
      </w:pPr>
      <w:r>
        <w:rPr>
          <w:szCs w:val="20"/>
        </w:rPr>
      </w:r>
    </w:p>
    <w:tbl>
      <w:tblPr>
        <w:tblW w:w="8756"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0" w:type="dxa"/>
          <w:bottom w:w="0" w:type="dxa"/>
          <w:right w:w="70" w:type="dxa"/>
        </w:tblCellMar>
        <w:tblLook w:firstRow="1" w:noVBand="1" w:lastRow="0" w:firstColumn="1" w:lastColumn="0" w:noHBand="0" w:val="04a0"/>
      </w:tblPr>
      <w:tblGrid>
        <w:gridCol w:w="980"/>
        <w:gridCol w:w="1650"/>
        <w:gridCol w:w="1021"/>
        <w:gridCol w:w="1021"/>
        <w:gridCol w:w="1021"/>
        <w:gridCol w:w="1021"/>
        <w:gridCol w:w="1021"/>
        <w:gridCol w:w="1020"/>
      </w:tblGrid>
      <w:tr>
        <w:trPr>
          <w:trHeight w:val="315" w:hRule="atLeast"/>
        </w:trPr>
        <w:tc>
          <w:tcPr>
            <w:tcW w:w="98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Lote</w:t>
            </w:r>
          </w:p>
        </w:tc>
        <w:tc>
          <w:tcPr>
            <w:tcW w:w="165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Município</w:t>
            </w:r>
          </w:p>
        </w:tc>
        <w:tc>
          <w:tcPr>
            <w:tcW w:w="6125"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
                <w:b/>
                <w:bCs/>
                <w:szCs w:val="20"/>
                <w:lang w:eastAsia="pt-BR"/>
              </w:rPr>
            </w:pPr>
            <w:r>
              <w:rPr>
                <w:b/>
                <w:bCs/>
                <w:szCs w:val="20"/>
                <w:lang w:eastAsia="pt-BR"/>
              </w:rPr>
              <w:t>Fator</w:t>
            </w:r>
          </w:p>
        </w:tc>
      </w:tr>
      <w:tr>
        <w:trPr>
          <w:trHeight w:val="315" w:hRule="atLeast"/>
        </w:trPr>
        <w:tc>
          <w:tcPr>
            <w:tcW w:w="98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rPr>
                <w:bCs/>
                <w:szCs w:val="20"/>
                <w:lang w:eastAsia="pt-BR"/>
              </w:rPr>
            </w:pPr>
            <w:r>
              <w:rPr>
                <w:bCs/>
                <w:szCs w:val="20"/>
                <w:lang w:eastAsia="pt-BR"/>
              </w:rPr>
            </w:r>
          </w:p>
        </w:tc>
        <w:tc>
          <w:tcPr>
            <w:tcW w:w="16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tcPr>
          <w:p>
            <w:pPr>
              <w:pStyle w:val="Normal"/>
              <w:jc w:val="center"/>
              <w:rPr>
                <w:bCs/>
                <w:szCs w:val="20"/>
                <w:lang w:eastAsia="pt-BR"/>
              </w:rPr>
            </w:pPr>
            <w:r>
              <w:rPr>
                <w:bCs/>
                <w:szCs w:val="20"/>
                <w:lang w:eastAsia="pt-BR"/>
              </w:rPr>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N1</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N2</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N3</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N4</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N5</w:t>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N6</w:t>
            </w:r>
          </w:p>
        </w:tc>
      </w:tr>
      <w:tr>
        <w:trPr>
          <w:trHeight w:val="300" w:hRule="atLeast"/>
        </w:trPr>
        <w:tc>
          <w:tcPr>
            <w:tcW w:w="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r>
          </w:p>
        </w:tc>
        <w:tc>
          <w:tcPr>
            <w:tcW w:w="16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Malhada dos Bois/SE</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11,00</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18,00</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41,50</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5,00</w:t>
            </w:r>
          </w:p>
        </w:tc>
        <w:tc>
          <w:tcPr>
            <w:tcW w:w="10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9,00</w:t>
            </w:r>
          </w:p>
        </w:tc>
        <w:tc>
          <w:tcPr>
            <w:tcW w:w="1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15,50</w:t>
            </w:r>
          </w:p>
        </w:tc>
      </w:tr>
    </w:tbl>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39" w:name="_Toc514937655"/>
      <w:bookmarkEnd w:id="39"/>
      <w:r>
        <w:rPr>
          <w:szCs w:val="20"/>
        </w:rPr>
        <w:t>FISCALIZAÇÃO</w:t>
      </w:r>
    </w:p>
    <w:p>
      <w:pPr>
        <w:pStyle w:val="Normal"/>
        <w:rPr>
          <w:szCs w:val="20"/>
        </w:rPr>
      </w:pPr>
      <w:r>
        <w:rPr>
          <w:szCs w:val="20"/>
        </w:rPr>
      </w:r>
    </w:p>
    <w:p>
      <w:pPr>
        <w:pStyle w:val="Ttulo2"/>
        <w:numPr>
          <w:ilvl w:val="1"/>
          <w:numId w:val="2"/>
        </w:numPr>
        <w:rPr/>
      </w:pPr>
      <w:r>
        <w:rPr/>
        <w:t>A fiscalização dos serviços será feita por empregado formalmente designado, a quem compete verificar se a CONTRATADA está executando os trabalhos, observando o contrato e os documentos que o integram e competências definidas no Manual de Contrato.</w:t>
      </w:r>
    </w:p>
    <w:p>
      <w:pPr>
        <w:pStyle w:val="Normal"/>
        <w:rPr>
          <w:szCs w:val="20"/>
        </w:rPr>
      </w:pPr>
      <w:r>
        <w:rPr>
          <w:szCs w:val="20"/>
        </w:rPr>
      </w:r>
    </w:p>
    <w:p>
      <w:pPr>
        <w:pStyle w:val="Ttulo2"/>
        <w:numPr>
          <w:ilvl w:val="1"/>
          <w:numId w:val="2"/>
        </w:numPr>
        <w:rPr/>
      </w:pPr>
      <w:r>
        <w:rP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pPr>
        <w:pStyle w:val="Normal"/>
        <w:rPr>
          <w:strike/>
          <w:szCs w:val="20"/>
        </w:rPr>
      </w:pPr>
      <w:r>
        <w:rPr>
          <w:strike/>
          <w:szCs w:val="20"/>
        </w:rPr>
      </w:r>
    </w:p>
    <w:p>
      <w:pPr>
        <w:pStyle w:val="Ttulo2"/>
        <w:numPr>
          <w:ilvl w:val="1"/>
          <w:numId w:val="2"/>
        </w:numPr>
        <w:rPr/>
      </w:pPr>
      <w:r>
        <w:rPr/>
        <w:t>Participar da Reunião de Partida entre as partes envolvidas, Codevasf e CONTRATADA, onde serão definidos todos os detalhes do Plano de Trabalho e dar-se-á o “start up” da execução das obras.</w:t>
      </w:r>
    </w:p>
    <w:p>
      <w:pPr>
        <w:pStyle w:val="Normal"/>
        <w:rPr>
          <w:strike/>
          <w:szCs w:val="20"/>
        </w:rPr>
      </w:pPr>
      <w:r>
        <w:rPr>
          <w:strike/>
          <w:szCs w:val="20"/>
        </w:rPr>
      </w:r>
    </w:p>
    <w:p>
      <w:pPr>
        <w:pStyle w:val="Ttulo2"/>
        <w:numPr>
          <w:ilvl w:val="1"/>
          <w:numId w:val="2"/>
        </w:numPr>
        <w:rPr/>
      </w:pPr>
      <w:r>
        <w:rPr/>
        <w:t>Acompanhar a execução dos serviços objeto do contrato, “in loco”, como representante da Codevasf, de forma a garantir o cumprimento do que foi pactuado, observando para que não haja subcontratação de serviços vedados no instrumento assinado pelas partes.</w:t>
      </w:r>
    </w:p>
    <w:p>
      <w:pPr>
        <w:pStyle w:val="Normal"/>
        <w:rPr>
          <w:szCs w:val="20"/>
        </w:rPr>
      </w:pPr>
      <w:r>
        <w:rPr>
          <w:szCs w:val="20"/>
        </w:rPr>
      </w:r>
    </w:p>
    <w:p>
      <w:pPr>
        <w:pStyle w:val="Ttulo2"/>
        <w:numPr>
          <w:ilvl w:val="1"/>
          <w:numId w:val="2"/>
        </w:numPr>
        <w:rPr/>
      </w:pPr>
      <w:r>
        <w:rPr/>
        <w:t>Esclarecer dúvidas ou fornecer informações solicitadas pelo preposto/representante da CONTRATADA ou, quando não estiverem sob sua alçada, encaminhá-las a quem compete.</w:t>
      </w:r>
    </w:p>
    <w:p>
      <w:pPr>
        <w:pStyle w:val="Normal"/>
        <w:rPr>
          <w:szCs w:val="20"/>
        </w:rPr>
      </w:pPr>
      <w:r>
        <w:rPr>
          <w:szCs w:val="20"/>
        </w:rPr>
      </w:r>
    </w:p>
    <w:p>
      <w:pPr>
        <w:pStyle w:val="Ttulo2"/>
        <w:numPr>
          <w:ilvl w:val="1"/>
          <w:numId w:val="2"/>
        </w:numPr>
        <w:rPr/>
      </w:pPr>
      <w:r>
        <w:rPr/>
        <w:t>Checar se a CONTRATADA disponibilizou as instalações, equipamentos e recursos humanos previstos para a execução dos serviços.</w:t>
      </w:r>
    </w:p>
    <w:p>
      <w:pPr>
        <w:pStyle w:val="Normal"/>
        <w:rPr>
          <w:szCs w:val="20"/>
        </w:rPr>
      </w:pPr>
      <w:r>
        <w:rPr>
          <w:szCs w:val="20"/>
        </w:rPr>
      </w:r>
    </w:p>
    <w:p>
      <w:pPr>
        <w:pStyle w:val="Ttulo2"/>
        <w:numPr>
          <w:ilvl w:val="1"/>
          <w:numId w:val="2"/>
        </w:numPr>
        <w:rPr/>
      </w:pPr>
      <w:r>
        <w:rPr/>
        <w:t>Acompanhar a elaboração do “as built” (como construído) ao longo da execução dos serviços.</w:t>
      </w:r>
    </w:p>
    <w:p>
      <w:pPr>
        <w:pStyle w:val="Normal"/>
        <w:rPr>
          <w:szCs w:val="20"/>
        </w:rPr>
      </w:pPr>
      <w:r>
        <w:rPr>
          <w:szCs w:val="20"/>
        </w:rPr>
      </w:r>
    </w:p>
    <w:p>
      <w:pPr>
        <w:pStyle w:val="Ttulo2"/>
        <w:numPr>
          <w:ilvl w:val="1"/>
          <w:numId w:val="2"/>
        </w:numPr>
        <w:rPr/>
      </w:pPr>
      <w:r>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pPr>
        <w:pStyle w:val="Normal"/>
        <w:rPr>
          <w:szCs w:val="20"/>
        </w:rPr>
      </w:pPr>
      <w:r>
        <w:rPr>
          <w:szCs w:val="20"/>
        </w:rPr>
      </w:r>
    </w:p>
    <w:p>
      <w:pPr>
        <w:pStyle w:val="Ttulo2"/>
        <w:numPr>
          <w:ilvl w:val="1"/>
          <w:numId w:val="2"/>
        </w:numPr>
        <w:rPr/>
      </w:pPr>
      <w:r>
        <w:rPr/>
        <w:t>Solicitar da CONTRATADA a relação de empregados contratados e terceirizados, com as seguintes informações: nome completo, cargo ou função, valor do salário, número do RG e do CPF.</w:t>
      </w:r>
    </w:p>
    <w:p>
      <w:pPr>
        <w:pStyle w:val="Normal"/>
        <w:rPr>
          <w:szCs w:val="20"/>
        </w:rPr>
      </w:pPr>
      <w:r>
        <w:rPr>
          <w:szCs w:val="20"/>
        </w:rPr>
      </w:r>
    </w:p>
    <w:p>
      <w:pPr>
        <w:pStyle w:val="Ttulo2"/>
        <w:numPr>
          <w:ilvl w:val="1"/>
          <w:numId w:val="2"/>
        </w:numPr>
        <w:rPr/>
      </w:pPr>
      <w:r>
        <w:rPr/>
        <w:t>Informar ao titular da unidade orgânica demandante e ao gestor de contrato sobre o andamento dos serviços, por meio do Relatório de Acompanhamento Físico da obra – RAF.</w:t>
      </w:r>
    </w:p>
    <w:p>
      <w:pPr>
        <w:pStyle w:val="Normal"/>
        <w:rPr>
          <w:szCs w:val="20"/>
        </w:rPr>
      </w:pPr>
      <w:r>
        <w:rPr>
          <w:szCs w:val="20"/>
        </w:rPr>
      </w:r>
    </w:p>
    <w:p>
      <w:pPr>
        <w:pStyle w:val="Ttulo2"/>
        <w:numPr>
          <w:ilvl w:val="1"/>
          <w:numId w:val="2"/>
        </w:numPr>
        <w:rPr/>
      </w:pPr>
      <w:r>
        <w:rPr/>
        <w:t>Efetuar os registros diários no Diário da Obra.</w:t>
      </w:r>
    </w:p>
    <w:p>
      <w:pPr>
        <w:pStyle w:val="Normal"/>
        <w:rPr>
          <w:szCs w:val="20"/>
        </w:rPr>
      </w:pPr>
      <w:r>
        <w:rPr>
          <w:szCs w:val="20"/>
        </w:rPr>
      </w:r>
    </w:p>
    <w:p>
      <w:pPr>
        <w:pStyle w:val="Ttulo2"/>
        <w:numPr>
          <w:ilvl w:val="1"/>
          <w:numId w:val="2"/>
        </w:numPr>
        <w:rPr/>
      </w:pPr>
      <w:r>
        <w:rPr/>
        <w:t>Determinar a reparação, correção, remoção, reconstrução ou substituição, às expensas da CONTRATADA, no total ou em parte, dos serviços nos quais forem detectados vícios, defeitos ou incorreções resultantes da execução ou dos materiais empregados.</w:t>
      </w:r>
    </w:p>
    <w:p>
      <w:pPr>
        <w:pStyle w:val="Normal"/>
        <w:rPr>
          <w:szCs w:val="20"/>
        </w:rPr>
      </w:pPr>
      <w:r>
        <w:rPr>
          <w:szCs w:val="20"/>
        </w:rPr>
      </w:r>
    </w:p>
    <w:p>
      <w:pPr>
        <w:pStyle w:val="Ttulo2"/>
        <w:numPr>
          <w:ilvl w:val="1"/>
          <w:numId w:val="2"/>
        </w:numPr>
        <w:rPr/>
      </w:pPr>
      <w:r>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pPr>
        <w:pStyle w:val="Normal"/>
        <w:rPr>
          <w:szCs w:val="20"/>
        </w:rPr>
      </w:pPr>
      <w:r>
        <w:rPr>
          <w:szCs w:val="20"/>
        </w:rPr>
      </w:r>
    </w:p>
    <w:p>
      <w:pPr>
        <w:pStyle w:val="Ttulo2"/>
        <w:numPr>
          <w:ilvl w:val="1"/>
          <w:numId w:val="2"/>
        </w:numPr>
        <w:rPr/>
      </w:pPr>
      <w:r>
        <w:rP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pPr>
        <w:pStyle w:val="Ttulo2"/>
        <w:numPr>
          <w:ilvl w:val="0"/>
          <w:numId w:val="0"/>
        </w:numPr>
        <w:ind w:left="426" w:hanging="0"/>
        <w:rPr/>
      </w:pPr>
      <w:r>
        <w:rPr/>
      </w:r>
    </w:p>
    <w:p>
      <w:pPr>
        <w:pStyle w:val="Ttulo2"/>
        <w:numPr>
          <w:ilvl w:val="1"/>
          <w:numId w:val="2"/>
        </w:numPr>
        <w:rPr/>
      </w:pPr>
      <w:r>
        <w:rPr/>
        <w:t>Rejeitar, no todo ou em parte, obra, serviço ou fornecimento executado em desacordo com o instrumento contratual.</w:t>
      </w:r>
    </w:p>
    <w:p>
      <w:pPr>
        <w:pStyle w:val="Ttulo2"/>
        <w:numPr>
          <w:ilvl w:val="0"/>
          <w:numId w:val="0"/>
        </w:numPr>
        <w:ind w:left="426" w:hanging="0"/>
        <w:rPr/>
      </w:pPr>
      <w:r>
        <w:rPr/>
      </w:r>
    </w:p>
    <w:p>
      <w:pPr>
        <w:pStyle w:val="Ttulo2"/>
        <w:numPr>
          <w:ilvl w:val="1"/>
          <w:numId w:val="2"/>
        </w:numPr>
        <w:rPr/>
      </w:pPr>
      <w:r>
        <w:rPr/>
        <w:t>Notificar a CONTRATADA sobre quaisquer ocorrências encontradas em desconformidade com as cláusulas contratuais, sempre por escrito, com prova de recebimento da notificação.</w:t>
      </w:r>
    </w:p>
    <w:p>
      <w:pPr>
        <w:pStyle w:val="Ttulo2"/>
        <w:numPr>
          <w:ilvl w:val="0"/>
          <w:numId w:val="0"/>
        </w:numPr>
        <w:ind w:left="426" w:hanging="0"/>
        <w:rPr/>
      </w:pPr>
      <w:r>
        <w:rPr/>
      </w:r>
    </w:p>
    <w:p>
      <w:pPr>
        <w:pStyle w:val="Ttulo2"/>
        <w:numPr>
          <w:ilvl w:val="1"/>
          <w:numId w:val="2"/>
        </w:numPr>
        <w:rPr/>
      </w:pPr>
      <w:r>
        <w:rPr/>
        <w:t>Manter em arquivo organizado memória de cálculo dos quantitativos de serviços executados e os consequentes boletins de medição.</w:t>
      </w:r>
    </w:p>
    <w:p>
      <w:pPr>
        <w:pStyle w:val="Ttulo2"/>
        <w:numPr>
          <w:ilvl w:val="0"/>
          <w:numId w:val="0"/>
        </w:numPr>
        <w:ind w:left="426" w:hanging="0"/>
        <w:rPr/>
      </w:pPr>
      <w:r>
        <w:rPr/>
      </w:r>
    </w:p>
    <w:p>
      <w:pPr>
        <w:pStyle w:val="Ttulo2"/>
        <w:numPr>
          <w:ilvl w:val="1"/>
          <w:numId w:val="2"/>
        </w:numPr>
        <w:rPr/>
      </w:pPr>
      <w:r>
        <w:rPr/>
        <w:t>Encaminhar à Contratada cópia da Licença Ambiental, se houver, caso contrário, cópia da legislação de dispensa do referido documento.</w:t>
      </w:r>
    </w:p>
    <w:p>
      <w:pPr>
        <w:pStyle w:val="Normal"/>
        <w:rPr>
          <w:szCs w:val="20"/>
        </w:rPr>
      </w:pPr>
      <w:r>
        <w:rPr>
          <w:szCs w:val="20"/>
        </w:rPr>
      </w:r>
    </w:p>
    <w:p>
      <w:pPr>
        <w:pStyle w:val="Ttulo2"/>
        <w:numPr>
          <w:ilvl w:val="1"/>
          <w:numId w:val="2"/>
        </w:numPr>
        <w:rPr/>
      </w:pPr>
      <w:r>
        <w:rPr/>
        <w:t>Atestar as notas fiscais e encaminhá-las ao gestor de contrato, quando houver, ou ao titular da unidade orgânica demandante, para providências quanto ao pagamento.</w:t>
      </w:r>
    </w:p>
    <w:p>
      <w:pPr>
        <w:pStyle w:val="Normal"/>
        <w:rPr>
          <w:szCs w:val="20"/>
        </w:rPr>
      </w:pPr>
      <w:r>
        <w:rPr>
          <w:szCs w:val="20"/>
        </w:rPr>
      </w:r>
    </w:p>
    <w:p>
      <w:pPr>
        <w:pStyle w:val="Ttulo2"/>
        <w:numPr>
          <w:ilvl w:val="1"/>
          <w:numId w:val="2"/>
        </w:numPr>
        <w:rPr/>
      </w:pPr>
      <w:r>
        <w:rPr/>
        <w:t>Receber, analisar, emitir parecer e encaminhar ao gestor de contrato, quando houver, ou ao titular da unidade orgânica demandante, para providências, os pedidos de reajuste/repactuação e reequilíbrio econômico financeiro.</w:t>
      </w:r>
    </w:p>
    <w:p>
      <w:pPr>
        <w:pStyle w:val="Normal"/>
        <w:rPr>
          <w:szCs w:val="20"/>
        </w:rPr>
      </w:pPr>
      <w:r>
        <w:rPr>
          <w:szCs w:val="20"/>
        </w:rPr>
      </w:r>
    </w:p>
    <w:p>
      <w:pPr>
        <w:pStyle w:val="Ttulo2"/>
        <w:numPr>
          <w:ilvl w:val="1"/>
          <w:numId w:val="2"/>
        </w:numPr>
        <w:rPr/>
      </w:pPr>
      <w:r>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pPr>
        <w:pStyle w:val="Normal"/>
        <w:rPr>
          <w:szCs w:val="20"/>
        </w:rPr>
      </w:pPr>
      <w:r>
        <w:rPr>
          <w:szCs w:val="20"/>
        </w:rPr>
      </w:r>
    </w:p>
    <w:p>
      <w:pPr>
        <w:pStyle w:val="Ttulo2"/>
        <w:numPr>
          <w:ilvl w:val="1"/>
          <w:numId w:val="2"/>
        </w:numPr>
        <w:rPr/>
      </w:pPr>
      <w:r>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pPr>
        <w:pStyle w:val="Normal"/>
        <w:rPr>
          <w:szCs w:val="20"/>
        </w:rPr>
      </w:pPr>
      <w:r>
        <w:rPr>
          <w:szCs w:val="20"/>
        </w:rPr>
      </w:r>
    </w:p>
    <w:p>
      <w:pPr>
        <w:pStyle w:val="Ttulo2"/>
        <w:numPr>
          <w:ilvl w:val="1"/>
          <w:numId w:val="2"/>
        </w:numPr>
        <w:rPr/>
      </w:pPr>
      <w:r>
        <w:rPr/>
        <w:t>Informar à unidade de finanças, mediante Termo de Encerramento Físico – TEF, quanto ao término da vigência do contrato, para providências no sentido de liberação da garantia contratual em favor da CONTRATADA.</w:t>
      </w:r>
    </w:p>
    <w:p>
      <w:pPr>
        <w:pStyle w:val="Normal"/>
        <w:rPr>
          <w:szCs w:val="20"/>
        </w:rPr>
      </w:pPr>
      <w:r>
        <w:rPr>
          <w:szCs w:val="20"/>
        </w:rPr>
      </w:r>
    </w:p>
    <w:p>
      <w:pPr>
        <w:pStyle w:val="Ttulo2"/>
        <w:numPr>
          <w:ilvl w:val="1"/>
          <w:numId w:val="2"/>
        </w:numPr>
        <w:rPr/>
      </w:pPr>
      <w:r>
        <w:rPr/>
        <w:t>Receber as etapas de obra, serviços ou fornecimentos mediante medições precisas e de acordo com as regras contratuais.</w:t>
      </w:r>
    </w:p>
    <w:p>
      <w:pPr>
        <w:pStyle w:val="Normal"/>
        <w:rPr>
          <w:szCs w:val="20"/>
        </w:rPr>
      </w:pPr>
      <w:r>
        <w:rPr>
          <w:szCs w:val="20"/>
        </w:rPr>
      </w:r>
    </w:p>
    <w:p>
      <w:pPr>
        <w:pStyle w:val="Ttulo2"/>
        <w:numPr>
          <w:ilvl w:val="1"/>
          <w:numId w:val="2"/>
        </w:numPr>
        <w:rPr/>
      </w:pPr>
      <w:r>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pPr>
        <w:pStyle w:val="Normal"/>
        <w:rPr>
          <w:szCs w:val="20"/>
        </w:rPr>
      </w:pPr>
      <w:r>
        <w:rPr>
          <w:szCs w:val="20"/>
        </w:rPr>
      </w:r>
    </w:p>
    <w:p>
      <w:pPr>
        <w:pStyle w:val="Ttulo2"/>
        <w:numPr>
          <w:ilvl w:val="1"/>
          <w:numId w:val="2"/>
        </w:numPr>
        <w:rPr/>
      </w:pPr>
      <w:r>
        <w:rPr/>
        <w:t>Receber, provisória e definitivamente, as aquisições, obras ou serviços sob sua responsabilidade, mediante recibo ou Termo Circunstanciado, quando não for designada comissão de recebimento ou outro empregado.</w:t>
      </w:r>
    </w:p>
    <w:p>
      <w:pPr>
        <w:pStyle w:val="Normal"/>
        <w:rPr>
          <w:szCs w:val="20"/>
        </w:rPr>
      </w:pPr>
      <w:r>
        <w:rPr>
          <w:szCs w:val="20"/>
        </w:rPr>
      </w:r>
    </w:p>
    <w:p>
      <w:pPr>
        <w:pStyle w:val="Ttulo2"/>
        <w:numPr>
          <w:ilvl w:val="1"/>
          <w:numId w:val="2"/>
        </w:numPr>
        <w:rPr/>
      </w:pPr>
      <w:r>
        <w:rPr/>
        <w:t>Acompanhar e cobrar da CONTRATADA a execução de planos ou programas ambientais, quando houver, bem como o cumprimento das condicionantes da licença ambiental, também quando houver, tomando providências para minimizar impactos de acidentes ambientais.</w:t>
      </w:r>
    </w:p>
    <w:p>
      <w:pPr>
        <w:pStyle w:val="Normal"/>
        <w:rPr>
          <w:szCs w:val="20"/>
        </w:rPr>
      </w:pPr>
      <w:r>
        <w:rPr>
          <w:szCs w:val="20"/>
        </w:rPr>
      </w:r>
    </w:p>
    <w:p>
      <w:pPr>
        <w:pStyle w:val="Ttulo2"/>
        <w:numPr>
          <w:ilvl w:val="1"/>
          <w:numId w:val="2"/>
        </w:numPr>
        <w:rPr/>
      </w:pPr>
      <w:r>
        <w:rPr/>
        <w:t>Realizar vistorias na obra e verificar sua conformidade com as normas aplicáveis e com as orientações técnicas, indicações de segurança e uso de Equipamentos de Proteção Individual – EPI’s.</w:t>
      </w:r>
    </w:p>
    <w:p>
      <w:pPr>
        <w:pStyle w:val="Normal"/>
        <w:rPr>
          <w:szCs w:val="20"/>
        </w:rPr>
      </w:pPr>
      <w:r>
        <w:rPr>
          <w:szCs w:val="20"/>
        </w:rPr>
      </w:r>
    </w:p>
    <w:p>
      <w:pPr>
        <w:pStyle w:val="Ttulo2"/>
        <w:numPr>
          <w:ilvl w:val="1"/>
          <w:numId w:val="2"/>
        </w:numPr>
        <w:rPr/>
      </w:pPr>
      <w:r>
        <w:rPr/>
        <w:t>Acompanhar a execução da obra, verificando a correta utilização quantitativa e qualitativa dos materiais e equipamentos empregados, com a finalidade de zelar pela manutenção da qualidade adequada.</w:t>
      </w:r>
    </w:p>
    <w:p>
      <w:pPr>
        <w:pStyle w:val="Normal"/>
        <w:rPr>
          <w:szCs w:val="20"/>
        </w:rPr>
      </w:pPr>
      <w:r>
        <w:rPr>
          <w:szCs w:val="20"/>
        </w:rPr>
      </w:r>
    </w:p>
    <w:p>
      <w:pPr>
        <w:pStyle w:val="Ttulo2"/>
        <w:numPr>
          <w:ilvl w:val="1"/>
          <w:numId w:val="2"/>
        </w:numPr>
        <w:rPr/>
      </w:pPr>
      <w:r>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pPr>
        <w:pStyle w:val="Normal"/>
        <w:rPr>
          <w:szCs w:val="20"/>
        </w:rPr>
      </w:pPr>
      <w:r>
        <w:rPr>
          <w:szCs w:val="20"/>
        </w:rPr>
      </w:r>
    </w:p>
    <w:p>
      <w:pPr>
        <w:pStyle w:val="Ttulo2"/>
        <w:numPr>
          <w:ilvl w:val="1"/>
          <w:numId w:val="2"/>
        </w:numPr>
        <w:rPr/>
      </w:pPr>
      <w:r>
        <w:rPr/>
        <w:t>A ação e/ou omissão, total ou parcial, da Fiscalização não eximirá a CONTRATADA da integral responsabilidade pela execução do objeto deste contrato.</w:t>
      </w:r>
    </w:p>
    <w:p>
      <w:pPr>
        <w:pStyle w:val="Normal"/>
        <w:rPr>
          <w:szCs w:val="20"/>
        </w:rPr>
      </w:pPr>
      <w:r>
        <w:rPr>
          <w:szCs w:val="20"/>
        </w:rPr>
      </w:r>
    </w:p>
    <w:p>
      <w:pPr>
        <w:pStyle w:val="Ttulo2"/>
        <w:numPr>
          <w:ilvl w:val="1"/>
          <w:numId w:val="2"/>
        </w:numPr>
        <w:rPr/>
      </w:pPr>
      <w:r>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40" w:name="_Toc514937656"/>
      <w:bookmarkEnd w:id="40"/>
      <w:r>
        <w:rPr>
          <w:szCs w:val="20"/>
        </w:rPr>
        <w:t>RECEBIMENTO DEFINITIVO DOS SERVIÇOS</w:t>
      </w:r>
    </w:p>
    <w:p>
      <w:pPr>
        <w:pStyle w:val="Normal"/>
        <w:rPr>
          <w:szCs w:val="20"/>
        </w:rPr>
      </w:pPr>
      <w:r>
        <w:rPr>
          <w:szCs w:val="20"/>
        </w:rPr>
      </w:r>
    </w:p>
    <w:p>
      <w:pPr>
        <w:pStyle w:val="Ttulo2"/>
        <w:numPr>
          <w:ilvl w:val="1"/>
          <w:numId w:val="27"/>
        </w:numPr>
        <w:rPr/>
      </w:pPr>
      <w:bookmarkStart w:id="41" w:name="_Ref462323335"/>
      <w:bookmarkEnd w:id="41"/>
      <w:r>
        <w:rP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p>
    <w:p>
      <w:pPr>
        <w:pStyle w:val="Normal"/>
        <w:rPr>
          <w:szCs w:val="20"/>
        </w:rPr>
      </w:pPr>
      <w:r>
        <w:rPr>
          <w:szCs w:val="20"/>
        </w:rPr>
      </w:r>
    </w:p>
    <w:p>
      <w:pPr>
        <w:pStyle w:val="Ttulo3"/>
        <w:numPr>
          <w:ilvl w:val="2"/>
          <w:numId w:val="27"/>
        </w:numPr>
        <w:rPr/>
      </w:pPr>
      <w:r>
        <w:rPr/>
        <w:t>Após o término dos serviços objeto deste TR, a CONTRATADA requererá à FISCALIZAÇÃO, o seu recebimento provisório, que deverá ocorrer no prazo de até 15 (quinze) dias da data de sua solicitação.</w:t>
      </w:r>
    </w:p>
    <w:p>
      <w:pPr>
        <w:pStyle w:val="Normal"/>
        <w:rPr>
          <w:szCs w:val="20"/>
        </w:rPr>
      </w:pPr>
      <w:r>
        <w:rPr>
          <w:szCs w:val="20"/>
        </w:rPr>
      </w:r>
    </w:p>
    <w:p>
      <w:pPr>
        <w:pStyle w:val="Ttulo3"/>
        <w:numPr>
          <w:ilvl w:val="2"/>
          <w:numId w:val="27"/>
        </w:numPr>
        <w:rPr/>
      </w:pPr>
      <w:r>
        <w:rPr/>
        <w:t>Na hipótese da necessidade de correção, será estabelecido pela FISCALIZAÇÃO um prazo, para que a CONTRATADA, às suas expensas, complemente, refaça ou substitua os serviços rejeitados.</w:t>
      </w:r>
    </w:p>
    <w:p>
      <w:pPr>
        <w:pStyle w:val="Normal"/>
        <w:rPr>
          <w:szCs w:val="20"/>
        </w:rPr>
      </w:pPr>
      <w:r>
        <w:rPr>
          <w:szCs w:val="20"/>
        </w:rPr>
      </w:r>
    </w:p>
    <w:p>
      <w:pPr>
        <w:pStyle w:val="Ttulo3"/>
        <w:numPr>
          <w:ilvl w:val="2"/>
          <w:numId w:val="27"/>
        </w:numPr>
        <w:rPr/>
      </w:pPr>
      <w:r>
        <w:rPr/>
        <w:t>Após o recebimento provisório do objeto pela FISCALIZAÇÃO, será designado Servidor ou Comissão para o recebimento definitivo do objeto, que deverá ocorrer no prazo de até 90 (noventa) dias da data de sua designação.</w:t>
      </w:r>
    </w:p>
    <w:p>
      <w:pPr>
        <w:pStyle w:val="Normal"/>
        <w:rPr>
          <w:szCs w:val="20"/>
        </w:rPr>
      </w:pPr>
      <w:r>
        <w:rPr>
          <w:szCs w:val="20"/>
        </w:rPr>
      </w:r>
    </w:p>
    <w:p>
      <w:pPr>
        <w:pStyle w:val="Ttulo3"/>
        <w:numPr>
          <w:ilvl w:val="2"/>
          <w:numId w:val="27"/>
        </w:numPr>
        <w:rPr/>
      </w:pPr>
      <w:r>
        <w:rPr/>
        <w:t>Na hipótese da necessidade de correção, o Servidor ou Comissão estabelecerá um prazo para que a CONTRATADA, às suas expensas, complemente, refaça ou substitua os serviços rejeitados.</w:t>
      </w:r>
    </w:p>
    <w:p>
      <w:pPr>
        <w:pStyle w:val="Normal"/>
        <w:rPr>
          <w:szCs w:val="20"/>
        </w:rPr>
      </w:pPr>
      <w:r>
        <w:rPr>
          <w:szCs w:val="20"/>
        </w:rPr>
      </w:r>
    </w:p>
    <w:p>
      <w:pPr>
        <w:pStyle w:val="Ttulo3"/>
        <w:numPr>
          <w:ilvl w:val="2"/>
          <w:numId w:val="27"/>
        </w:numPr>
        <w:rPr/>
      </w:pPr>
      <w:r>
        <w:rPr/>
        <w:t>Os ensaios, testes e demais provas exigidos por normas técnicas oficiais para a boa execução do objeto do contrato correm por conta do contratado.</w:t>
      </w:r>
    </w:p>
    <w:p>
      <w:pPr>
        <w:pStyle w:val="Normal"/>
        <w:rPr>
          <w:szCs w:val="20"/>
        </w:rPr>
      </w:pPr>
      <w:r>
        <w:rPr>
          <w:szCs w:val="20"/>
        </w:rPr>
      </w:r>
    </w:p>
    <w:p>
      <w:pPr>
        <w:pStyle w:val="Ttulo3"/>
        <w:numPr>
          <w:ilvl w:val="2"/>
          <w:numId w:val="27"/>
        </w:numPr>
        <w:rPr/>
      </w:pPr>
      <w:r>
        <w:rPr/>
        <w:t>Aceitos e aprovados os serviços, será emitido o Termo de Encerramento Físico (TEF), que deverá ser assinado por representante autorizado da CONTRATADA, possibilitando a liberação da garantia.</w:t>
      </w:r>
    </w:p>
    <w:p>
      <w:pPr>
        <w:pStyle w:val="Ttulo3"/>
        <w:numPr>
          <w:ilvl w:val="0"/>
          <w:numId w:val="0"/>
        </w:numPr>
        <w:ind w:left="426" w:hanging="0"/>
        <w:rPr/>
      </w:pPr>
      <w:r>
        <w:rPr/>
      </w:r>
    </w:p>
    <w:p>
      <w:pPr>
        <w:pStyle w:val="Ttulo3"/>
        <w:numPr>
          <w:ilvl w:val="2"/>
          <w:numId w:val="27"/>
        </w:numPr>
        <w:rPr/>
      </w:pPr>
      <w:r>
        <w:rP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pPr>
        <w:pStyle w:val="Normal"/>
        <w:rPr>
          <w:szCs w:val="20"/>
        </w:rPr>
      </w:pPr>
      <w:r>
        <w:rPr>
          <w:szCs w:val="20"/>
        </w:rPr>
      </w:r>
    </w:p>
    <w:p>
      <w:pPr>
        <w:pStyle w:val="Ttulo3"/>
        <w:numPr>
          <w:ilvl w:val="2"/>
          <w:numId w:val="27"/>
        </w:numPr>
        <w:rPr/>
      </w:pPr>
      <w:r>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pPr>
        <w:pStyle w:val="Ttulo2"/>
        <w:numPr>
          <w:ilvl w:val="0"/>
          <w:numId w:val="0"/>
        </w:numPr>
        <w:ind w:left="426" w:hanging="0"/>
        <w:rPr/>
      </w:pPr>
      <w:r>
        <w:rPr/>
      </w:r>
    </w:p>
    <w:p>
      <w:pPr>
        <w:pStyle w:val="Ttulo3"/>
        <w:numPr>
          <w:ilvl w:val="2"/>
          <w:numId w:val="27"/>
        </w:numPr>
        <w:rPr/>
      </w:pPr>
      <w:r>
        <w:rPr/>
        <w:t>A CONTRATADA entende e aceita que o pleno cumprimento do estipulado neste item é condicionante para:</w:t>
      </w:r>
    </w:p>
    <w:p>
      <w:pPr>
        <w:pStyle w:val="Normal"/>
        <w:rPr>
          <w:szCs w:val="20"/>
        </w:rPr>
      </w:pPr>
      <w:r>
        <w:rPr>
          <w:szCs w:val="20"/>
        </w:rPr>
      </w:r>
    </w:p>
    <w:p>
      <w:pPr>
        <w:pStyle w:val="Normal"/>
        <w:ind w:left="851" w:hanging="0"/>
        <w:rPr>
          <w:szCs w:val="20"/>
        </w:rPr>
      </w:pPr>
      <w:r>
        <w:rPr>
          <w:szCs w:val="20"/>
        </w:rPr>
        <w:t>a)</w:t>
        <w:tab/>
        <w:t>Emissão do Termo de Encerramento Físico (TEF);</w:t>
      </w:r>
    </w:p>
    <w:p>
      <w:pPr>
        <w:pStyle w:val="Normal"/>
        <w:ind w:left="851" w:hanging="0"/>
        <w:rPr>
          <w:szCs w:val="20"/>
        </w:rPr>
      </w:pPr>
      <w:r>
        <w:rPr>
          <w:szCs w:val="20"/>
        </w:rPr>
        <w:t>b)</w:t>
        <w:tab/>
        <w:t>Emissão do Atestado de Capacidade Técnica;</w:t>
      </w:r>
    </w:p>
    <w:p>
      <w:pPr>
        <w:pStyle w:val="Normal"/>
        <w:ind w:left="851" w:hanging="0"/>
        <w:rPr>
          <w:szCs w:val="20"/>
        </w:rPr>
      </w:pPr>
      <w:r>
        <w:rPr>
          <w:szCs w:val="20"/>
        </w:rPr>
        <w:t>c)</w:t>
        <w:tab/>
        <w:t>Liberação da Caução Contratual.</w:t>
      </w:r>
    </w:p>
    <w:p>
      <w:pPr>
        <w:pStyle w:val="Ttulo2"/>
        <w:numPr>
          <w:ilvl w:val="0"/>
          <w:numId w:val="0"/>
        </w:numPr>
        <w:ind w:left="426" w:hanging="0"/>
        <w:rPr/>
      </w:pPr>
      <w:r>
        <w:rPr/>
      </w:r>
    </w:p>
    <w:p>
      <w:pPr>
        <w:pStyle w:val="Ttulo3"/>
        <w:numPr>
          <w:ilvl w:val="2"/>
          <w:numId w:val="27"/>
        </w:numPr>
        <w:rPr/>
      </w:pPr>
      <w:r>
        <w:rPr/>
        <w:t>A última fatura de serviços somente será encaminhada para pagamento após a emissão do Termo de Encerramento Físico do Contrato (TEF), que deverá ser anexado ao processo de liberação e pagamento.</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42" w:name="_Toc514937657"/>
      <w:bookmarkEnd w:id="42"/>
      <w:r>
        <w:rPr>
          <w:szCs w:val="20"/>
        </w:rPr>
        <w:t>SEGURANÇA E MEDICINA DO TRABALHO</w:t>
      </w:r>
    </w:p>
    <w:p>
      <w:pPr>
        <w:pStyle w:val="Normal"/>
        <w:rPr>
          <w:szCs w:val="20"/>
        </w:rPr>
      </w:pPr>
      <w:r>
        <w:rPr>
          <w:szCs w:val="20"/>
        </w:rPr>
      </w:r>
    </w:p>
    <w:p>
      <w:pPr>
        <w:pStyle w:val="Ttulo2"/>
        <w:numPr>
          <w:ilvl w:val="1"/>
          <w:numId w:val="2"/>
        </w:numPr>
        <w:rPr/>
      </w:pPr>
      <w:r>
        <w:rPr/>
        <w:t>A CONTRATADA deverá atender à legislação pertinente à proteção da integridade física e da saúde dos trabalhadores durante a realização dos serviços, conforme dispõe a Lei nº 6.514 de 22/12/1977, Portaria nº 3.214, de 08/06/1978, do ISSO e deverá:</w:t>
      </w:r>
    </w:p>
    <w:p>
      <w:pPr>
        <w:pStyle w:val="Normal"/>
        <w:rPr>
          <w:szCs w:val="20"/>
        </w:rPr>
      </w:pPr>
      <w:r>
        <w:rPr>
          <w:szCs w:val="20"/>
        </w:rPr>
      </w:r>
    </w:p>
    <w:p>
      <w:pPr>
        <w:pStyle w:val="ListParagraph"/>
        <w:numPr>
          <w:ilvl w:val="0"/>
          <w:numId w:val="4"/>
        </w:numPr>
        <w:rPr>
          <w:szCs w:val="20"/>
        </w:rPr>
      </w:pPr>
      <w:r>
        <w:rPr>
          <w:szCs w:val="20"/>
        </w:rPr>
        <w:t>Cumprir e fazer cumprir as Normas Regulamentadoras de Segurança e Medicina do Trabalho – NRs, pertinentes à natureza dos serviços a serem desenvolvidos;</w:t>
      </w:r>
    </w:p>
    <w:p>
      <w:pPr>
        <w:pStyle w:val="ListParagraph"/>
        <w:numPr>
          <w:ilvl w:val="0"/>
          <w:numId w:val="4"/>
        </w:numPr>
        <w:rPr>
          <w:szCs w:val="20"/>
        </w:rPr>
      </w:pPr>
      <w:r>
        <w:rPr>
          <w:szCs w:val="20"/>
        </w:rPr>
        <w:t>Elaborar os Programas PPRA e PCMSO, além do PCMAT nos casos previstos na NR-18;</w:t>
      </w:r>
    </w:p>
    <w:p>
      <w:pPr>
        <w:pStyle w:val="ListParagraph"/>
        <w:numPr>
          <w:ilvl w:val="0"/>
          <w:numId w:val="4"/>
        </w:numPr>
        <w:rPr>
          <w:szCs w:val="20"/>
        </w:rPr>
      </w:pPr>
      <w:r>
        <w:rPr>
          <w:szCs w:val="20"/>
        </w:rPr>
        <w:t>Manter nos Eixos, o SESMT conforme dimensionamento disposto no Quadro II da NR-4.</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43" w:name="_Toc514937658"/>
      <w:bookmarkEnd w:id="43"/>
      <w:r>
        <w:rPr>
          <w:szCs w:val="20"/>
        </w:rPr>
        <w:t>CRITÉRIOS DE SUSTENTABILIDADE AMBIENTAL</w:t>
      </w:r>
    </w:p>
    <w:p>
      <w:pPr>
        <w:pStyle w:val="Normal"/>
        <w:rPr>
          <w:szCs w:val="20"/>
        </w:rPr>
      </w:pPr>
      <w:r>
        <w:rPr>
          <w:szCs w:val="20"/>
        </w:rPr>
      </w:r>
    </w:p>
    <w:p>
      <w:pPr>
        <w:pStyle w:val="Ttulo2"/>
        <w:numPr>
          <w:ilvl w:val="1"/>
          <w:numId w:val="2"/>
        </w:numPr>
        <w:rPr/>
      </w:pPr>
      <w:r>
        <w:rPr/>
        <w:t>A Contratada deverá executar a obra em conformidade com a Licença Ambiental nª LI nº 203/2016 vigente até 06/10/2020</w:t>
      </w:r>
    </w:p>
    <w:p>
      <w:pPr>
        <w:pStyle w:val="Normal"/>
        <w:rPr>
          <w:szCs w:val="20"/>
        </w:rPr>
      </w:pPr>
      <w:r>
        <w:rPr>
          <w:szCs w:val="20"/>
        </w:rPr>
      </w:r>
    </w:p>
    <w:p>
      <w:pPr>
        <w:pStyle w:val="Ttulo2"/>
        <w:numPr>
          <w:ilvl w:val="1"/>
          <w:numId w:val="2"/>
        </w:numPr>
        <w:rPr/>
      </w:pPr>
      <w:r>
        <w:rPr/>
        <w:t>A CONTRATADA deverá atender às diretrizes estabelecidas pelo Decreto nº 7.746, de 05/06/2012, que regulamenta o art. 3º da Lei nº 8.666, de 21/06/1993,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p>
    <w:p>
      <w:pPr>
        <w:pStyle w:val="Normal"/>
        <w:rPr>
          <w:szCs w:val="20"/>
        </w:rPr>
      </w:pPr>
      <w:r>
        <w:rPr>
          <w:szCs w:val="20"/>
        </w:rPr>
      </w:r>
    </w:p>
    <w:p>
      <w:pPr>
        <w:pStyle w:val="Ttulo2"/>
        <w:numPr>
          <w:ilvl w:val="1"/>
          <w:numId w:val="2"/>
        </w:numPr>
        <w:rPr/>
      </w:pPr>
      <w:r>
        <w:rPr/>
        <w:t>O Decreto nº 7.746, 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decreto.</w:t>
      </w:r>
    </w:p>
    <w:p>
      <w:pPr>
        <w:pStyle w:val="Ttulo2"/>
        <w:numPr>
          <w:ilvl w:val="0"/>
          <w:numId w:val="0"/>
        </w:numPr>
        <w:ind w:left="426" w:hanging="0"/>
        <w:rPr/>
      </w:pPr>
      <w:r>
        <w:rPr/>
      </w:r>
    </w:p>
    <w:p>
      <w:pPr>
        <w:pStyle w:val="Ttulo2"/>
        <w:numPr>
          <w:ilvl w:val="1"/>
          <w:numId w:val="2"/>
        </w:numPr>
        <w:rPr/>
      </w:pPr>
      <w:r>
        <w:rPr/>
        <w:t>O Decreto nº 7.746, em seu Art. 4º, considera como critérios e práticas sustentáveis, entre outras:</w:t>
      </w:r>
    </w:p>
    <w:p>
      <w:pPr>
        <w:pStyle w:val="Normal"/>
        <w:rPr>
          <w:szCs w:val="20"/>
        </w:rPr>
      </w:pPr>
      <w:r>
        <w:rPr>
          <w:szCs w:val="20"/>
        </w:rPr>
      </w:r>
    </w:p>
    <w:p>
      <w:pPr>
        <w:pStyle w:val="ListParagraph"/>
        <w:numPr>
          <w:ilvl w:val="0"/>
          <w:numId w:val="14"/>
        </w:numPr>
        <w:rPr>
          <w:szCs w:val="20"/>
        </w:rPr>
      </w:pPr>
      <w:r>
        <w:rPr>
          <w:szCs w:val="20"/>
        </w:rPr>
        <w:t>baixo impacto sobre recursos naturais como flora, fauna, ar, solo e água;</w:t>
      </w:r>
    </w:p>
    <w:p>
      <w:pPr>
        <w:pStyle w:val="ListParagraph"/>
        <w:numPr>
          <w:ilvl w:val="0"/>
          <w:numId w:val="14"/>
        </w:numPr>
        <w:rPr>
          <w:szCs w:val="20"/>
        </w:rPr>
      </w:pPr>
      <w:r>
        <w:rPr>
          <w:szCs w:val="20"/>
        </w:rPr>
        <w:t>preferência para materiais, tecnologias e matérias-primas de origem local;</w:t>
      </w:r>
    </w:p>
    <w:p>
      <w:pPr>
        <w:pStyle w:val="ListParagraph"/>
        <w:numPr>
          <w:ilvl w:val="0"/>
          <w:numId w:val="14"/>
        </w:numPr>
        <w:rPr>
          <w:szCs w:val="20"/>
        </w:rPr>
      </w:pPr>
      <w:r>
        <w:rPr>
          <w:szCs w:val="20"/>
        </w:rPr>
        <w:t>maior eficiência na utilização de recursos naturais como água e energia;</w:t>
      </w:r>
    </w:p>
    <w:p>
      <w:pPr>
        <w:pStyle w:val="ListParagraph"/>
        <w:numPr>
          <w:ilvl w:val="0"/>
          <w:numId w:val="14"/>
        </w:numPr>
        <w:rPr>
          <w:szCs w:val="20"/>
        </w:rPr>
      </w:pPr>
      <w:r>
        <w:rPr>
          <w:szCs w:val="20"/>
        </w:rPr>
        <w:t>maior geração de empregos, preferencialmente com mão de obra local;</w:t>
      </w:r>
    </w:p>
    <w:p>
      <w:pPr>
        <w:pStyle w:val="ListParagraph"/>
        <w:numPr>
          <w:ilvl w:val="0"/>
          <w:numId w:val="14"/>
        </w:numPr>
        <w:rPr>
          <w:szCs w:val="20"/>
        </w:rPr>
      </w:pPr>
      <w:r>
        <w:rPr>
          <w:szCs w:val="20"/>
        </w:rPr>
        <w:t>maior vida útil e menor custo de manutenção do bem e da obra;</w:t>
      </w:r>
    </w:p>
    <w:p>
      <w:pPr>
        <w:pStyle w:val="ListParagraph"/>
        <w:numPr>
          <w:ilvl w:val="0"/>
          <w:numId w:val="14"/>
        </w:numPr>
        <w:rPr>
          <w:szCs w:val="20"/>
        </w:rPr>
      </w:pPr>
      <w:r>
        <w:rPr>
          <w:szCs w:val="20"/>
        </w:rPr>
        <w:t>uso de inovações que reduzam a pressão sobre recursos naturais;</w:t>
      </w:r>
    </w:p>
    <w:p>
      <w:pPr>
        <w:pStyle w:val="ListParagraph"/>
        <w:numPr>
          <w:ilvl w:val="0"/>
          <w:numId w:val="14"/>
        </w:numPr>
        <w:rPr>
          <w:szCs w:val="20"/>
        </w:rPr>
      </w:pPr>
      <w:r>
        <w:rPr>
          <w:szCs w:val="20"/>
        </w:rPr>
        <w:t>origem sustentável dos recursos naturais utilizados nos bens, nos serviços e nas obras; e</w:t>
      </w:r>
    </w:p>
    <w:p>
      <w:pPr>
        <w:pStyle w:val="ListParagraph"/>
        <w:numPr>
          <w:ilvl w:val="0"/>
          <w:numId w:val="14"/>
        </w:numPr>
        <w:rPr>
          <w:szCs w:val="20"/>
        </w:rPr>
      </w:pPr>
      <w:r>
        <w:rPr>
          <w:szCs w:val="20"/>
        </w:rPr>
        <w:t>utilização de produtos florestais madeireiros e não madeireiros originários de manejo florestal sustentável ou de reflorestamento.</w:t>
      </w:r>
    </w:p>
    <w:p>
      <w:pPr>
        <w:pStyle w:val="Normal"/>
        <w:rPr>
          <w:szCs w:val="20"/>
        </w:rPr>
      </w:pPr>
      <w:r>
        <w:rPr>
          <w:szCs w:val="20"/>
        </w:rPr>
      </w:r>
    </w:p>
    <w:p>
      <w:pPr>
        <w:pStyle w:val="Ttulo2"/>
        <w:numPr>
          <w:ilvl w:val="1"/>
          <w:numId w:val="2"/>
        </w:numPr>
        <w:rPr/>
      </w:pPr>
      <w:r>
        <w:rPr/>
        <w:t>Na execução da obra e serviços será exigido o pleno atendimento da Instrução Normativa SLTI/MP nº 01/2010, onde a CONTRATADA deverá adotar as seguintes providências:</w:t>
      </w:r>
    </w:p>
    <w:p>
      <w:pPr>
        <w:pStyle w:val="Normal"/>
        <w:rPr>
          <w:szCs w:val="20"/>
        </w:rPr>
      </w:pPr>
      <w:r>
        <w:rPr>
          <w:szCs w:val="20"/>
        </w:rPr>
      </w:r>
    </w:p>
    <w:p>
      <w:pPr>
        <w:pStyle w:val="ListParagraph"/>
        <w:numPr>
          <w:ilvl w:val="0"/>
          <w:numId w:val="11"/>
        </w:numPr>
        <w:rPr>
          <w:szCs w:val="20"/>
        </w:rPr>
      </w:pPr>
      <w:r>
        <w:rPr>
          <w:szCs w:val="20"/>
        </w:rPr>
        <w:t>Deverá ser priorizado o emprego de mão-de-obra, materiais, tecnologias e matérias-primas de origem local para execução, conservação e operação das obras públicas.</w:t>
      </w:r>
    </w:p>
    <w:p>
      <w:pPr>
        <w:pStyle w:val="ListParagraph"/>
        <w:numPr>
          <w:ilvl w:val="0"/>
          <w:numId w:val="11"/>
        </w:numPr>
        <w:rPr>
          <w:szCs w:val="20"/>
        </w:rPr>
      </w:pPr>
      <w:r>
        <w:rPr>
          <w:szCs w:val="20"/>
        </w:rPr>
        <w:t>Deverá fazer o uso obrigatório de agregados reciclados nas obras contratadas, sempre que existir a oferta de agregados reciclados, capacidade de suprimento e custo inferior em relação aos agregados naturais.</w:t>
      </w:r>
    </w:p>
    <w:p>
      <w:pPr>
        <w:pStyle w:val="ListParagraph"/>
        <w:numPr>
          <w:ilvl w:val="0"/>
          <w:numId w:val="11"/>
        </w:numPr>
        <w:rPr>
          <w:szCs w:val="20"/>
        </w:rPr>
      </w:pPr>
      <w:r>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pPr>
        <w:pStyle w:val="ListParagraph"/>
        <w:numPr>
          <w:ilvl w:val="1"/>
          <w:numId w:val="26"/>
        </w:numPr>
        <w:rPr>
          <w:szCs w:val="20"/>
        </w:rPr>
      </w:pPr>
      <w:r>
        <w:rPr>
          <w:szCs w:val="20"/>
        </w:rPr>
        <w:t>Os resíduos sólidos reutilizáveis e recicláveis devem ser acondicionados adequadamente e de forma diferenciada, para fins de disponibilização à coleta seletiva.</w:t>
      </w:r>
    </w:p>
    <w:p>
      <w:pPr>
        <w:pStyle w:val="ListParagraph"/>
        <w:numPr>
          <w:ilvl w:val="0"/>
          <w:numId w:val="11"/>
        </w:numPr>
        <w:rPr>
          <w:szCs w:val="20"/>
        </w:rPr>
      </w:pPr>
      <w:r>
        <w:rPr>
          <w:szCs w:val="20"/>
        </w:rPr>
        <w:t>Otimizar a utilização de recursos e a redução de desperdícios e de poluição, através das seguintes medidas, dentre outras:</w:t>
      </w:r>
    </w:p>
    <w:p>
      <w:pPr>
        <w:pStyle w:val="ListParagraph"/>
        <w:numPr>
          <w:ilvl w:val="1"/>
          <w:numId w:val="11"/>
        </w:numPr>
        <w:rPr>
          <w:szCs w:val="20"/>
        </w:rPr>
      </w:pPr>
      <w:r>
        <w:rPr>
          <w:szCs w:val="20"/>
        </w:rPr>
        <w:t>Racionalizar o uso de substâncias potencialmente tóxicas ou poluentes;</w:t>
      </w:r>
    </w:p>
    <w:p>
      <w:pPr>
        <w:pStyle w:val="ListParagraph"/>
        <w:numPr>
          <w:ilvl w:val="1"/>
          <w:numId w:val="11"/>
        </w:numPr>
        <w:rPr>
          <w:szCs w:val="20"/>
        </w:rPr>
      </w:pPr>
      <w:r>
        <w:rPr>
          <w:szCs w:val="20"/>
        </w:rPr>
        <w:t>Substituir as substâncias tóxicas por outras atóxicas ou de menor toxicidade;</w:t>
      </w:r>
    </w:p>
    <w:p>
      <w:pPr>
        <w:pStyle w:val="ListParagraph"/>
        <w:numPr>
          <w:ilvl w:val="1"/>
          <w:numId w:val="11"/>
        </w:numPr>
        <w:rPr>
          <w:szCs w:val="20"/>
        </w:rPr>
      </w:pPr>
      <w:r>
        <w:rPr>
          <w:szCs w:val="20"/>
        </w:rPr>
        <w:t>Usar produtos de limpeza e conservação de superfícies e objetos inanimados que obedeçam às classificações e especificações determinadas pela ANVISA;</w:t>
      </w:r>
    </w:p>
    <w:p>
      <w:pPr>
        <w:pStyle w:val="ListParagraph"/>
        <w:numPr>
          <w:ilvl w:val="1"/>
          <w:numId w:val="11"/>
        </w:numPr>
        <w:rPr>
          <w:szCs w:val="20"/>
        </w:rPr>
      </w:pPr>
      <w:r>
        <w:rPr>
          <w:szCs w:val="20"/>
        </w:rPr>
        <w:t>Racionalizar o consumo de energia (especialmente elétrica) e adotar medidas para evitar o desperdício de água tratada;</w:t>
      </w:r>
    </w:p>
    <w:p>
      <w:pPr>
        <w:pStyle w:val="ListParagraph"/>
        <w:numPr>
          <w:ilvl w:val="1"/>
          <w:numId w:val="11"/>
        </w:numPr>
        <w:rPr>
          <w:szCs w:val="20"/>
        </w:rPr>
      </w:pPr>
      <w:r>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pPr>
        <w:pStyle w:val="ListParagraph"/>
        <w:numPr>
          <w:ilvl w:val="1"/>
          <w:numId w:val="11"/>
        </w:numPr>
        <w:rPr>
          <w:szCs w:val="20"/>
        </w:rPr>
      </w:pPr>
      <w:r>
        <w:rPr>
          <w:szCs w:val="20"/>
        </w:rPr>
        <w:t>Treinar e capacitar periodicamente os empregados em boas práticas de redução de desperdícios e poluição.</w:t>
      </w:r>
    </w:p>
    <w:p>
      <w:pPr>
        <w:pStyle w:val="ListParagraph"/>
        <w:numPr>
          <w:ilvl w:val="0"/>
          <w:numId w:val="11"/>
        </w:numPr>
        <w:rPr>
          <w:szCs w:val="20"/>
        </w:rPr>
      </w:pPr>
      <w:r>
        <w:rPr>
          <w:szCs w:val="20"/>
        </w:rPr>
        <w:t>Utilizar lavagem com água de reuso ou outras fontes, sempre que possível (águas de chuva, poços cuja água seja certificada de não contaminação por metais pesados ou agentes bacteriológicos, minas e outros);</w:t>
      </w:r>
    </w:p>
    <w:p>
      <w:pPr>
        <w:pStyle w:val="ListParagraph"/>
        <w:numPr>
          <w:ilvl w:val="0"/>
          <w:numId w:val="11"/>
        </w:numPr>
        <w:rPr>
          <w:szCs w:val="20"/>
        </w:rPr>
      </w:pPr>
      <w:r>
        <w:rPr>
          <w:szCs w:val="20"/>
        </w:rPr>
        <w:t>Fornecer aos empregados os equipamentos de segurança que se fizerem necessários, para a execução de serviços;</w:t>
      </w:r>
    </w:p>
    <w:p>
      <w:pPr>
        <w:pStyle w:val="ListParagraph"/>
        <w:numPr>
          <w:ilvl w:val="0"/>
          <w:numId w:val="11"/>
        </w:numPr>
        <w:rPr>
          <w:szCs w:val="20"/>
        </w:rPr>
      </w:pPr>
      <w:r>
        <w:rPr>
          <w:szCs w:val="20"/>
        </w:rPr>
        <w:t>Respeitar as Normas Brasileiras - NBR publicadas pela Associação Brasileira de Normas Técnicas sobre resíduos sólidos;</w:t>
      </w:r>
    </w:p>
    <w:p>
      <w:pPr>
        <w:pStyle w:val="ListParagraph"/>
        <w:numPr>
          <w:ilvl w:val="0"/>
          <w:numId w:val="11"/>
        </w:numPr>
        <w:rPr>
          <w:szCs w:val="20"/>
        </w:rPr>
      </w:pPr>
      <w:r>
        <w:rPr>
          <w:szCs w:val="20"/>
        </w:rPr>
        <w:t>Desenvolver ou adotar manuais de procedimentos de descarte de materiais potencialmente poluidores, dentre os quais:</w:t>
      </w:r>
    </w:p>
    <w:p>
      <w:pPr>
        <w:pStyle w:val="ListParagraph"/>
        <w:numPr>
          <w:ilvl w:val="1"/>
          <w:numId w:val="11"/>
        </w:numPr>
        <w:rPr>
          <w:szCs w:val="20"/>
        </w:rPr>
      </w:pPr>
      <w:r>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pPr>
        <w:pStyle w:val="ListParagraph"/>
        <w:numPr>
          <w:ilvl w:val="1"/>
          <w:numId w:val="11"/>
        </w:numPr>
        <w:rPr>
          <w:szCs w:val="20"/>
        </w:rPr>
      </w:pPr>
      <w:r>
        <w:rPr>
          <w:szCs w:val="20"/>
        </w:rPr>
        <w:t>Lâmpadas fluorescentes e frascos de aerossóis em geral devem ser separados e acondicionados em recipientes adequados para destinação específica;</w:t>
      </w:r>
    </w:p>
    <w:p>
      <w:pPr>
        <w:pStyle w:val="ListParagraph"/>
        <w:numPr>
          <w:ilvl w:val="1"/>
          <w:numId w:val="11"/>
        </w:numPr>
        <w:rPr>
          <w:szCs w:val="20"/>
        </w:rPr>
      </w:pPr>
      <w:r>
        <w:rPr>
          <w:szCs w:val="20"/>
        </w:rPr>
        <w:t>Pneumáticos inservíveis devem ser encaminhados aos fabricantes para destinação final, ambientalmente adequada, conforme disciplina normativa vigente.</w:t>
      </w:r>
    </w:p>
    <w:p>
      <w:pPr>
        <w:pStyle w:val="Normal"/>
        <w:rPr>
          <w:szCs w:val="20"/>
        </w:rPr>
      </w:pPr>
      <w:r>
        <w:rPr>
          <w:szCs w:val="20"/>
        </w:rPr>
      </w:r>
    </w:p>
    <w:p>
      <w:pPr>
        <w:pStyle w:val="Ttulo2"/>
        <w:numPr>
          <w:ilvl w:val="1"/>
          <w:numId w:val="2"/>
        </w:numPr>
        <w:rPr/>
      </w:pPr>
      <w:r>
        <w:rP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pPr>
        <w:pStyle w:val="Normal"/>
        <w:rPr>
          <w:szCs w:val="20"/>
        </w:rPr>
      </w:pPr>
      <w:r>
        <w:rPr>
          <w:szCs w:val="20"/>
        </w:rPr>
      </w:r>
    </w:p>
    <w:p>
      <w:pPr>
        <w:pStyle w:val="ListParagraph"/>
        <w:numPr>
          <w:ilvl w:val="0"/>
          <w:numId w:val="13"/>
        </w:numPr>
        <w:rPr>
          <w:szCs w:val="20"/>
        </w:rPr>
      </w:pPr>
      <w:r>
        <w:rPr>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pPr>
        <w:pStyle w:val="ListParagraph"/>
        <w:numPr>
          <w:ilvl w:val="0"/>
          <w:numId w:val="13"/>
        </w:numPr>
        <w:rPr>
          <w:szCs w:val="20"/>
        </w:rPr>
      </w:pPr>
      <w:r>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rPr>
          <w:szCs w:val="20"/>
        </w:rPr>
      </w:pPr>
      <w:r>
        <w:rPr>
          <w:szCs w:val="20"/>
        </w:rPr>
      </w:r>
    </w:p>
    <w:p>
      <w:pPr>
        <w:pStyle w:val="Normal"/>
        <w:ind w:left="1588" w:hanging="454"/>
        <w:rPr>
          <w:szCs w:val="20"/>
        </w:rPr>
      </w:pPr>
      <w:r>
        <w:rPr>
          <w:szCs w:val="20"/>
        </w:rPr>
        <w:t>b.1) resíduos Classe A (reutilizáveis ou recicláveis como agregados): deverão ser reutilizados ou reciclados na forma de agregados ou encaminhados a aterro de resíduos Classe A de reservação de material para usos futuros;</w:t>
      </w:r>
    </w:p>
    <w:p>
      <w:pPr>
        <w:pStyle w:val="Normal"/>
        <w:ind w:left="1588" w:hanging="454"/>
        <w:rPr>
          <w:szCs w:val="20"/>
        </w:rPr>
      </w:pPr>
      <w:r>
        <w:rPr>
          <w:szCs w:val="20"/>
        </w:rPr>
        <w:t>b.2) resíduos Classe B (recicláveis para outras destinações): deverão ser reutilizados, reciclados ou encaminhados a áreas de armazenamento temporário, sendo dispostos de modo a permitir a sua utilização ou reciclagem futura;</w:t>
      </w:r>
    </w:p>
    <w:p>
      <w:pPr>
        <w:pStyle w:val="Normal"/>
        <w:ind w:left="1588" w:hanging="454"/>
        <w:rPr>
          <w:szCs w:val="20"/>
        </w:rPr>
      </w:pPr>
      <w:r>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ind w:left="1588" w:hanging="454"/>
        <w:rPr>
          <w:szCs w:val="20"/>
        </w:rPr>
      </w:pPr>
      <w:r>
        <w:rPr>
          <w:szCs w:val="20"/>
        </w:rPr>
        <w:t>b.4) resíduos Classe D (perigosos, contaminados ou prejudiciais à saúde): deverão ser armazenados, transportados e destinados em conformidade com as normas técnicas específicas.</w:t>
      </w:r>
    </w:p>
    <w:p>
      <w:pPr>
        <w:pStyle w:val="Normal"/>
        <w:rPr>
          <w:szCs w:val="20"/>
        </w:rPr>
      </w:pPr>
      <w:r>
        <w:rPr>
          <w:szCs w:val="20"/>
        </w:rPr>
      </w:r>
    </w:p>
    <w:p>
      <w:pPr>
        <w:pStyle w:val="ListParagraph"/>
        <w:numPr>
          <w:ilvl w:val="0"/>
          <w:numId w:val="13"/>
        </w:numPr>
        <w:rPr>
          <w:szCs w:val="20"/>
        </w:rPr>
      </w:pPr>
      <w:r>
        <w:rPr>
          <w:szCs w:val="20"/>
        </w:rPr>
        <w:t>Em nenhuma hipótese a CONTRATADA poderá dispor os resíduos originários da contratação aterros de resíduos domiciliares, áreas de “bota fora”, encostas, corpos d´água, lotes vagos e áreas protegidas por Lei, bem como em áreas não licenciadas.</w:t>
      </w:r>
    </w:p>
    <w:p>
      <w:pPr>
        <w:pStyle w:val="ListParagraph"/>
        <w:numPr>
          <w:ilvl w:val="0"/>
          <w:numId w:val="13"/>
        </w:numPr>
        <w:rPr>
          <w:szCs w:val="20"/>
        </w:rPr>
      </w:pPr>
      <w:r>
        <w:rPr>
          <w:szCs w:val="20"/>
        </w:rPr>
        <w:t>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rPr>
          <w:szCs w:val="20"/>
        </w:rPr>
      </w:pPr>
      <w:r>
        <w:rPr>
          <w:szCs w:val="20"/>
        </w:rPr>
      </w:r>
    </w:p>
    <w:p>
      <w:pPr>
        <w:pStyle w:val="Ttulo2"/>
        <w:numPr>
          <w:ilvl w:val="1"/>
          <w:numId w:val="2"/>
        </w:numPr>
        <w:rPr/>
      </w:pPr>
      <w:r>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pPr>
        <w:pStyle w:val="Normal"/>
        <w:rPr>
          <w:szCs w:val="20"/>
        </w:rPr>
      </w:pPr>
      <w:r>
        <w:rPr>
          <w:szCs w:val="20"/>
        </w:rPr>
      </w:r>
    </w:p>
    <w:p>
      <w:pPr>
        <w:pStyle w:val="ListParagraph"/>
        <w:numPr>
          <w:ilvl w:val="0"/>
          <w:numId w:val="12"/>
        </w:numPr>
        <w:rPr>
          <w:szCs w:val="20"/>
        </w:rPr>
      </w:pPr>
      <w:r>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pPr>
        <w:pStyle w:val="ListParagraph"/>
        <w:numPr>
          <w:ilvl w:val="0"/>
          <w:numId w:val="12"/>
        </w:numPr>
        <w:rPr>
          <w:szCs w:val="20"/>
        </w:rPr>
      </w:pPr>
      <w:r>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pPr>
        <w:pStyle w:val="ListParagraph"/>
        <w:numPr>
          <w:ilvl w:val="0"/>
          <w:numId w:val="12"/>
        </w:numPr>
        <w:rPr>
          <w:szCs w:val="20"/>
        </w:rPr>
      </w:pPr>
      <w:r>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pPr>
        <w:pStyle w:val="Normal"/>
        <w:rPr>
          <w:szCs w:val="20"/>
        </w:rPr>
      </w:pPr>
      <w:r>
        <w:rPr>
          <w:szCs w:val="20"/>
        </w:rPr>
      </w:r>
    </w:p>
    <w:p>
      <w:pPr>
        <w:pStyle w:val="Ttulo2"/>
        <w:numPr>
          <w:ilvl w:val="1"/>
          <w:numId w:val="2"/>
        </w:numPr>
        <w:rPr/>
      </w:pPr>
      <w:r>
        <w:rPr/>
        <w:t>Se houver a aquisição de bens, a CONTRATADA deverá observar os seguintes critérios de sustentabilidade ambiental, conforme a instrução normativa SLTI/MP nº 01/2010:</w:t>
      </w:r>
    </w:p>
    <w:p>
      <w:pPr>
        <w:pStyle w:val="ListParagraph"/>
        <w:numPr>
          <w:ilvl w:val="0"/>
          <w:numId w:val="20"/>
        </w:numPr>
        <w:rPr>
          <w:szCs w:val="20"/>
        </w:rPr>
      </w:pPr>
      <w:r>
        <w:rPr>
          <w:szCs w:val="20"/>
        </w:rPr>
        <w:t>Que os bens sejam constituídos, no todo ou em parte, por material reciclado, atóxico, biodegradável, conforme ABNT NBR – 15448-1 e 15448-2;</w:t>
      </w:r>
    </w:p>
    <w:p>
      <w:pPr>
        <w:pStyle w:val="ListParagraph"/>
        <w:numPr>
          <w:ilvl w:val="0"/>
          <w:numId w:val="20"/>
        </w:numPr>
        <w:rPr>
          <w:szCs w:val="20"/>
        </w:rPr>
      </w:pPr>
      <w:r>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pPr>
        <w:pStyle w:val="ListParagraph"/>
        <w:numPr>
          <w:ilvl w:val="0"/>
          <w:numId w:val="20"/>
        </w:numPr>
        <w:rPr>
          <w:szCs w:val="20"/>
        </w:rPr>
      </w:pPr>
      <w:r>
        <w:rPr>
          <w:szCs w:val="20"/>
        </w:rPr>
        <w:t>Que os bens devem ser, preferencialmente, acondicionados em embalagem adequada, com o menor volume possível, que utilize materiais recicláveis, de forma a garantir a máxima proteção durante o transporte e o armazenamento;</w:t>
      </w:r>
    </w:p>
    <w:p>
      <w:pPr>
        <w:pStyle w:val="ListParagraph"/>
        <w:numPr>
          <w:ilvl w:val="0"/>
          <w:numId w:val="20"/>
        </w:numPr>
        <w:rPr>
          <w:szCs w:val="20"/>
        </w:rPr>
      </w:pPr>
      <w:r>
        <w:rPr>
          <w:szCs w:val="20"/>
        </w:rPr>
        <w:t>Que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pPr>
        <w:pStyle w:val="Normal"/>
        <w:rPr>
          <w:szCs w:val="20"/>
        </w:rPr>
      </w:pPr>
      <w:r>
        <w:rPr>
          <w:szCs w:val="20"/>
        </w:rPr>
      </w:r>
    </w:p>
    <w:p>
      <w:pPr>
        <w:pStyle w:val="Ttulo2"/>
        <w:numPr>
          <w:ilvl w:val="1"/>
          <w:numId w:val="2"/>
        </w:numPr>
        <w:rPr/>
      </w:pPr>
      <w:r>
        <w:rPr/>
        <w:t>A CONTRATADA deverá comprovar a adoção de práticas de desfazimento sustentável ou reciclagem dos bens que forem inservíveis para o processo de reutilização.</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44" w:name="_Toc514937659"/>
      <w:bookmarkEnd w:id="44"/>
      <w:r>
        <w:rPr>
          <w:szCs w:val="20"/>
        </w:rPr>
        <w:t>OBRIGAÇÕES DA CONTRATADA</w:t>
      </w:r>
    </w:p>
    <w:p>
      <w:pPr>
        <w:pStyle w:val="Normal"/>
        <w:rPr>
          <w:szCs w:val="20"/>
        </w:rPr>
      </w:pPr>
      <w:r>
        <w:rPr>
          <w:szCs w:val="20"/>
        </w:rPr>
      </w:r>
    </w:p>
    <w:p>
      <w:pPr>
        <w:pStyle w:val="Ttulo2"/>
        <w:numPr>
          <w:ilvl w:val="1"/>
          <w:numId w:val="2"/>
        </w:numPr>
        <w:rPr/>
      </w:pPr>
      <w:r>
        <w:rPr/>
        <w:t>A CONTRATADA deverá apresentar à Codevasf antes do início dos trabalhos, os seguintes documentos:</w:t>
      </w:r>
    </w:p>
    <w:p>
      <w:pPr>
        <w:pStyle w:val="Normal"/>
        <w:rPr>
          <w:szCs w:val="20"/>
        </w:rPr>
      </w:pPr>
      <w:r>
        <w:rPr>
          <w:szCs w:val="20"/>
        </w:rPr>
      </w:r>
    </w:p>
    <w:p>
      <w:pPr>
        <w:pStyle w:val="Ttulo3"/>
        <w:numPr>
          <w:ilvl w:val="2"/>
          <w:numId w:val="2"/>
        </w:numPr>
        <w:rPr/>
      </w:pPr>
      <w:r>
        <w:rPr/>
        <w:t>Identificação da área para construção de canteiro de obra e “layout” das instalações e edificações previstas, bem como área para implantação do laboratório de ensaios de campo, quando for o caso.</w:t>
      </w:r>
    </w:p>
    <w:p>
      <w:pPr>
        <w:pStyle w:val="Normal"/>
        <w:rPr>
          <w:szCs w:val="20"/>
        </w:rPr>
      </w:pPr>
      <w:r>
        <w:rPr>
          <w:szCs w:val="20"/>
        </w:rPr>
      </w:r>
    </w:p>
    <w:p>
      <w:pPr>
        <w:pStyle w:val="Ttulo3"/>
        <w:numPr>
          <w:ilvl w:val="2"/>
          <w:numId w:val="2"/>
        </w:numPr>
        <w:rPr/>
      </w:pPr>
      <w:r>
        <w:rP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pPr>
        <w:pStyle w:val="Normal"/>
        <w:rPr>
          <w:szCs w:val="20"/>
        </w:rPr>
      </w:pPr>
      <w:r>
        <w:rPr>
          <w:szCs w:val="20"/>
        </w:rPr>
      </w:r>
    </w:p>
    <w:p>
      <w:pPr>
        <w:pStyle w:val="ListParagraph"/>
        <w:numPr>
          <w:ilvl w:val="0"/>
          <w:numId w:val="22"/>
        </w:numPr>
        <w:ind w:left="1208" w:hanging="357"/>
        <w:rPr>
          <w:szCs w:val="20"/>
        </w:rPr>
      </w:pPr>
      <w:r>
        <w:rPr>
          <w:szCs w:val="20"/>
        </w:rP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pPr>
        <w:pStyle w:val="Normal"/>
        <w:rPr>
          <w:szCs w:val="20"/>
        </w:rPr>
      </w:pPr>
      <w:r>
        <w:rPr>
          <w:szCs w:val="20"/>
        </w:rPr>
      </w:r>
    </w:p>
    <w:p>
      <w:pPr>
        <w:pStyle w:val="Ttulo3"/>
        <w:numPr>
          <w:ilvl w:val="2"/>
          <w:numId w:val="2"/>
        </w:numPr>
        <w:rPr/>
      </w:pPr>
      <w:r>
        <w:rPr/>
        <w:t>Planejamento em meio eletrônico, no formato MS Project ou software similar, demonstrando todas as etapas previstas para a execução do objeto contratado;</w:t>
      </w:r>
    </w:p>
    <w:p>
      <w:pPr>
        <w:pStyle w:val="Normal"/>
        <w:rPr>
          <w:szCs w:val="20"/>
        </w:rPr>
      </w:pPr>
      <w:r>
        <w:rPr>
          <w:szCs w:val="20"/>
        </w:rPr>
      </w:r>
    </w:p>
    <w:p>
      <w:pPr>
        <w:pStyle w:val="Ttulo3"/>
        <w:numPr>
          <w:ilvl w:val="2"/>
          <w:numId w:val="2"/>
        </w:numPr>
        <w:rPr/>
      </w:pPr>
      <w:r>
        <w:rPr/>
        <w:t>Cronograma físico-financeiro, detalhado e adequado ao Plano de Trabalho referido na alínea acima.</w:t>
      </w:r>
    </w:p>
    <w:p>
      <w:pPr>
        <w:pStyle w:val="Normal"/>
        <w:rPr>
          <w:szCs w:val="20"/>
        </w:rPr>
      </w:pPr>
      <w:r>
        <w:rPr>
          <w:szCs w:val="20"/>
        </w:rPr>
      </w:r>
    </w:p>
    <w:p>
      <w:pPr>
        <w:pStyle w:val="Ttulo3"/>
        <w:numPr>
          <w:ilvl w:val="2"/>
          <w:numId w:val="2"/>
        </w:numPr>
        <w:rPr/>
      </w:pPr>
      <w:r>
        <w:rPr/>
        <w:t>Relação dos serviços especializados que serão subcontratados, considerando as condições estabelecidas neste Termo de Referência.</w:t>
      </w:r>
    </w:p>
    <w:p>
      <w:pPr>
        <w:pStyle w:val="Normal"/>
        <w:rPr>
          <w:szCs w:val="20"/>
        </w:rPr>
      </w:pPr>
      <w:r>
        <w:rPr>
          <w:szCs w:val="20"/>
        </w:rPr>
      </w:r>
    </w:p>
    <w:p>
      <w:pPr>
        <w:pStyle w:val="ListParagraph"/>
        <w:numPr>
          <w:ilvl w:val="0"/>
          <w:numId w:val="30"/>
        </w:numPr>
        <w:ind w:left="1208" w:hanging="357"/>
        <w:rPr>
          <w:szCs w:val="20"/>
        </w:rPr>
      </w:pPr>
      <w:r>
        <w:rPr>
          <w:szCs w:val="20"/>
        </w:rPr>
        <w:t>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pPr>
        <w:pStyle w:val="Normal"/>
        <w:rPr>
          <w:szCs w:val="20"/>
        </w:rPr>
      </w:pPr>
      <w:r>
        <w:rPr>
          <w:szCs w:val="20"/>
        </w:rPr>
      </w:r>
    </w:p>
    <w:p>
      <w:pPr>
        <w:pStyle w:val="Ttulo3"/>
        <w:numPr>
          <w:ilvl w:val="2"/>
          <w:numId w:val="2"/>
        </w:numPr>
        <w:rPr/>
      </w:pPr>
      <w:r>
        <w:rPr/>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pPr>
        <w:pStyle w:val="Normal"/>
        <w:rPr>
          <w:szCs w:val="20"/>
        </w:rPr>
      </w:pPr>
      <w:r>
        <w:rPr>
          <w:szCs w:val="20"/>
        </w:rPr>
      </w:r>
    </w:p>
    <w:p>
      <w:pPr>
        <w:pStyle w:val="Ttulo3"/>
        <w:numPr>
          <w:ilvl w:val="2"/>
          <w:numId w:val="2"/>
        </w:numPr>
        <w:rPr/>
      </w:pPr>
      <w:r>
        <w:rPr/>
        <w:t>Autorização dos órgãos competentes para escavação/desmonte de rocha com uso de explosivos, plano de fogo assinado por Engenheiro de Minas com a respectiva ART, e projeto do paiol.</w:t>
      </w:r>
    </w:p>
    <w:p>
      <w:pPr>
        <w:pStyle w:val="Normal"/>
        <w:rPr>
          <w:szCs w:val="20"/>
        </w:rPr>
      </w:pPr>
      <w:r>
        <w:rPr>
          <w:szCs w:val="20"/>
        </w:rPr>
      </w:r>
    </w:p>
    <w:p>
      <w:pPr>
        <w:pStyle w:val="Ttulo3"/>
        <w:numPr>
          <w:ilvl w:val="2"/>
          <w:numId w:val="2"/>
        </w:numPr>
        <w:rPr/>
      </w:pPr>
      <w:r>
        <w:rPr/>
        <w:t>Declaração, nota fiscal ou proposta do fabricante/distribuidor comprovando preços, com garantia de fornecimento, dos principais insumos.</w:t>
      </w:r>
    </w:p>
    <w:p>
      <w:pPr>
        <w:pStyle w:val="Normal"/>
        <w:rPr>
          <w:szCs w:val="20"/>
        </w:rPr>
      </w:pPr>
      <w:r>
        <w:rPr>
          <w:szCs w:val="20"/>
        </w:rPr>
      </w:r>
    </w:p>
    <w:p>
      <w:pPr>
        <w:pStyle w:val="Ttulo2"/>
        <w:numPr>
          <w:ilvl w:val="1"/>
          <w:numId w:val="2"/>
        </w:numPr>
        <w:rPr/>
      </w:pPr>
      <w:r>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pPr>
        <w:pStyle w:val="Normal"/>
        <w:ind w:left="2832" w:hanging="0"/>
        <w:rPr>
          <w:szCs w:val="20"/>
        </w:rPr>
      </w:pPr>
      <w:r>
        <w:rPr>
          <w:szCs w:val="20"/>
        </w:rPr>
      </w:r>
    </w:p>
    <w:p>
      <w:pPr>
        <w:pStyle w:val="Ttulo2"/>
        <w:numPr>
          <w:ilvl w:val="1"/>
          <w:numId w:val="2"/>
        </w:numPr>
        <w:rPr/>
      </w:pPr>
      <w:r>
        <w:rPr/>
        <w:t>Apresentar-se sempre que solicitada, através do seu Responsável Técnico e/ou Coordenador dos trabalhos, nos escritórios da CONTRATANTE em Brasília/DF ou Superintendências Regionais.</w:t>
      </w:r>
    </w:p>
    <w:p>
      <w:pPr>
        <w:pStyle w:val="Normal"/>
        <w:rPr>
          <w:szCs w:val="20"/>
        </w:rPr>
      </w:pPr>
      <w:r>
        <w:rPr>
          <w:szCs w:val="20"/>
        </w:rPr>
      </w:r>
    </w:p>
    <w:p>
      <w:pPr>
        <w:pStyle w:val="Ttulo2"/>
        <w:numPr>
          <w:ilvl w:val="1"/>
          <w:numId w:val="2"/>
        </w:numPr>
        <w:rPr/>
      </w:pPr>
      <w:r>
        <w:rPr/>
        <w:t>Acatar as orientações da Codevasf, notadamente quanto ao cumprimento das Normas Internas, de Segurança e Medicina do Trabalho.</w:t>
      </w:r>
    </w:p>
    <w:p>
      <w:pPr>
        <w:pStyle w:val="Normal"/>
        <w:rPr>
          <w:szCs w:val="20"/>
        </w:rPr>
      </w:pPr>
      <w:r>
        <w:rPr>
          <w:szCs w:val="20"/>
        </w:rPr>
      </w:r>
    </w:p>
    <w:p>
      <w:pPr>
        <w:pStyle w:val="Ttulo2"/>
        <w:numPr>
          <w:ilvl w:val="1"/>
          <w:numId w:val="2"/>
        </w:numPr>
        <w:rPr/>
      </w:pPr>
      <w:r>
        <w:rPr/>
        <w:t>Assumir a inteira responsabilidade pelo transporte interno e externo do pessoal e dos insumos até o local dos serviços e fornecimentos.</w:t>
      </w:r>
    </w:p>
    <w:p>
      <w:pPr>
        <w:pStyle w:val="Normal"/>
        <w:rPr>
          <w:szCs w:val="20"/>
        </w:rPr>
      </w:pPr>
      <w:r>
        <w:rPr>
          <w:szCs w:val="20"/>
        </w:rPr>
      </w:r>
    </w:p>
    <w:p>
      <w:pPr>
        <w:pStyle w:val="Ttulo2"/>
        <w:numPr>
          <w:ilvl w:val="1"/>
          <w:numId w:val="2"/>
        </w:numPr>
        <w:rPr/>
      </w:pPr>
      <w:r>
        <w:rPr/>
        <w:t>Utilização de pessoal experiente, bem como de equipamentos, ferramentas e instrumentos adequados para a boa execução das obras e serviços.</w:t>
      </w:r>
    </w:p>
    <w:p>
      <w:pPr>
        <w:pStyle w:val="Normal"/>
        <w:rPr>
          <w:szCs w:val="20"/>
        </w:rPr>
      </w:pPr>
      <w:r>
        <w:rPr>
          <w:szCs w:val="20"/>
        </w:rPr>
      </w:r>
    </w:p>
    <w:p>
      <w:pPr>
        <w:pStyle w:val="Ttulo3"/>
        <w:numPr>
          <w:ilvl w:val="2"/>
          <w:numId w:val="2"/>
        </w:numPr>
        <w:rPr/>
      </w:pPr>
      <w:r>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pPr>
        <w:pStyle w:val="Normal"/>
        <w:rPr>
          <w:szCs w:val="20"/>
        </w:rPr>
      </w:pPr>
      <w:r>
        <w:rPr>
          <w:szCs w:val="20"/>
        </w:rPr>
      </w:r>
    </w:p>
    <w:p>
      <w:pPr>
        <w:pStyle w:val="Ttulo2"/>
        <w:numPr>
          <w:ilvl w:val="1"/>
          <w:numId w:val="2"/>
        </w:numPr>
        <w:rPr/>
      </w:pPr>
      <w:r>
        <w:rPr/>
        <w:t>Colocar tantas frentes de serviços quantos forem necessários (mediante anuência prévia da fiscalização), para possibilitar a perfeita execução das obras e serviços de engenharia dentro do prazo contratual.</w:t>
      </w:r>
    </w:p>
    <w:p>
      <w:pPr>
        <w:pStyle w:val="Normal"/>
        <w:rPr>
          <w:szCs w:val="20"/>
        </w:rPr>
      </w:pPr>
      <w:r>
        <w:rPr>
          <w:szCs w:val="20"/>
        </w:rPr>
      </w:r>
    </w:p>
    <w:p>
      <w:pPr>
        <w:pStyle w:val="Ttulo2"/>
        <w:numPr>
          <w:ilvl w:val="1"/>
          <w:numId w:val="2"/>
        </w:numPr>
        <w:rPr/>
      </w:pPr>
      <w:r>
        <w:rPr/>
        <w:t>Responsabilizar-se pelo fornecimento de toda a mão-de-obra, sem qualquer vinculação empregatícia com a Codevasf, bem como todo o material necessário à execução dos serviços objeto do contrato.</w:t>
      </w:r>
    </w:p>
    <w:p>
      <w:pPr>
        <w:pStyle w:val="Normal"/>
        <w:rPr>
          <w:szCs w:val="20"/>
        </w:rPr>
      </w:pPr>
      <w:r>
        <w:rPr>
          <w:szCs w:val="20"/>
        </w:rPr>
      </w:r>
    </w:p>
    <w:p>
      <w:pPr>
        <w:pStyle w:val="Ttulo2"/>
        <w:numPr>
          <w:ilvl w:val="1"/>
          <w:numId w:val="2"/>
        </w:numPr>
        <w:rPr/>
      </w:pPr>
      <w:r>
        <w:rPr/>
        <w:t xml:space="preserve">Responsabilizar-se por todos os ônus e obrigações concernentes à legislação tributária, trabalhista, securitária, previdenciária, e </w:t>
      </w:r>
      <w:r>
        <w:rPr>
          <w:u w:val="single"/>
        </w:rPr>
        <w:t>quaisquer encargos que incidam sobre os materiais e equipamentos</w:t>
      </w:r>
      <w:r>
        <w:rPr/>
        <w:t>, os quais, exclusivamente, correrão por sua conta, inclusive o registro do serviço contratado junto ao CREA do local de execução das obras e serviços de engenharia.</w:t>
      </w:r>
    </w:p>
    <w:p>
      <w:pPr>
        <w:pStyle w:val="Normal"/>
        <w:rPr>
          <w:szCs w:val="20"/>
        </w:rPr>
      </w:pPr>
      <w:r>
        <w:rPr>
          <w:szCs w:val="20"/>
        </w:rPr>
      </w:r>
    </w:p>
    <w:p>
      <w:pPr>
        <w:pStyle w:val="Ttulo2"/>
        <w:numPr>
          <w:ilvl w:val="1"/>
          <w:numId w:val="2"/>
        </w:numPr>
        <w:rPr/>
      </w:pPr>
      <w:r>
        <w:rPr/>
        <w:t>A CONTRATADA deve assegurar e facilitar o acesso da Fiscalização, aos serviços e a todos os elementos que forem necessários ao desempenho de sua missão.</w:t>
      </w:r>
    </w:p>
    <w:p>
      <w:pPr>
        <w:pStyle w:val="Normal"/>
        <w:rPr>
          <w:szCs w:val="20"/>
        </w:rPr>
      </w:pPr>
      <w:r>
        <w:rPr>
          <w:szCs w:val="20"/>
        </w:rPr>
      </w:r>
    </w:p>
    <w:p>
      <w:pPr>
        <w:pStyle w:val="Ttulo2"/>
        <w:numPr>
          <w:ilvl w:val="1"/>
          <w:numId w:val="2"/>
        </w:numPr>
        <w:rPr/>
      </w:pPr>
      <w:r>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pPr>
        <w:pStyle w:val="Normal"/>
        <w:rPr>
          <w:szCs w:val="20"/>
        </w:rPr>
      </w:pPr>
      <w:r>
        <w:rPr>
          <w:szCs w:val="20"/>
        </w:rPr>
      </w:r>
    </w:p>
    <w:p>
      <w:pPr>
        <w:pStyle w:val="Ttulo2"/>
        <w:numPr>
          <w:ilvl w:val="1"/>
          <w:numId w:val="2"/>
        </w:numPr>
        <w:rPr/>
      </w:pPr>
      <w:r>
        <w:rPr/>
        <w:t>Na hipótese de eventuais Termos Aditivos, que venham acrescentar o valor da contratação, a CONTRATADA deverá reforçar a caução inicial durante a execução dos serviços contratados, de acordo com a cláusula contratual que trata sobre “CAUÇÃO”.</w:t>
      </w:r>
    </w:p>
    <w:p>
      <w:pPr>
        <w:pStyle w:val="Normal"/>
        <w:rPr>
          <w:szCs w:val="20"/>
        </w:rPr>
      </w:pPr>
      <w:r>
        <w:rPr>
          <w:szCs w:val="20"/>
        </w:rPr>
      </w:r>
    </w:p>
    <w:p>
      <w:pPr>
        <w:pStyle w:val="Ttulo2"/>
        <w:numPr>
          <w:ilvl w:val="1"/>
          <w:numId w:val="2"/>
        </w:numPr>
        <w:rPr/>
      </w:pPr>
      <w:r>
        <w:rPr/>
        <w:t>A CONTRATADA deverá conceder livre acesso aos seus documentos e registros contábeis, referentes ao objeto da licitação, para os servidores ou empregados do órgão ou entidade CONTRATANTE e dos órgãos de controle interno e externo.</w:t>
      </w:r>
    </w:p>
    <w:p>
      <w:pPr>
        <w:pStyle w:val="Normal"/>
        <w:rPr>
          <w:szCs w:val="20"/>
        </w:rPr>
      </w:pPr>
      <w:r>
        <w:rPr>
          <w:szCs w:val="20"/>
        </w:rPr>
      </w:r>
    </w:p>
    <w:p>
      <w:pPr>
        <w:pStyle w:val="Ttulo2"/>
        <w:numPr>
          <w:ilvl w:val="1"/>
          <w:numId w:val="2"/>
        </w:numPr>
        <w:rPr/>
      </w:pPr>
      <w:r>
        <w:rP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pPr>
        <w:pStyle w:val="Normal"/>
        <w:rPr>
          <w:szCs w:val="20"/>
        </w:rPr>
      </w:pPr>
      <w:r>
        <w:rPr>
          <w:szCs w:val="20"/>
        </w:rPr>
      </w:r>
    </w:p>
    <w:p>
      <w:pPr>
        <w:pStyle w:val="Ttulo2"/>
        <w:numPr>
          <w:ilvl w:val="1"/>
          <w:numId w:val="2"/>
        </w:numPr>
        <w:rPr/>
      </w:pPr>
      <w:r>
        <w:rPr/>
        <w:t>A CONTRATADA será responsável por quaisquer acidentes de trabalho referentes a seu pessoal que venham a ocorrer por conta do serviço contratado e/ou por ela causado a terceiros.</w:t>
      </w:r>
    </w:p>
    <w:p>
      <w:pPr>
        <w:pStyle w:val="Normal"/>
        <w:rPr>
          <w:szCs w:val="20"/>
        </w:rPr>
      </w:pPr>
      <w:r>
        <w:rPr>
          <w:szCs w:val="20"/>
        </w:rPr>
      </w:r>
    </w:p>
    <w:p>
      <w:pPr>
        <w:pStyle w:val="Ttulo3"/>
        <w:numPr>
          <w:ilvl w:val="2"/>
          <w:numId w:val="2"/>
        </w:numPr>
        <w:rPr/>
      </w:pPr>
      <w:r>
        <w:rPr/>
        <w:t>Obedecer às normas de higiene e prevenção de acidentes, a fim de garantia a salubridade e a segurança nos acampamentos e nos canteiros de serviços.</w:t>
      </w:r>
    </w:p>
    <w:p>
      <w:pPr>
        <w:pStyle w:val="Normal"/>
        <w:rPr>
          <w:szCs w:val="20"/>
        </w:rPr>
      </w:pPr>
      <w:r>
        <w:rPr>
          <w:szCs w:val="20"/>
        </w:rPr>
      </w:r>
    </w:p>
    <w:p>
      <w:pPr>
        <w:pStyle w:val="Ttulo2"/>
        <w:numPr>
          <w:ilvl w:val="1"/>
          <w:numId w:val="2"/>
        </w:numPr>
        <w:rPr/>
      </w:pPr>
      <w:r>
        <w:rPr/>
        <w:t>Desfazer e corrigir os serviços rejeitados pela Fiscalização dentro do prazo estabelecido pela mesma, arcando com todas as despesas necessárias.</w:t>
      </w:r>
    </w:p>
    <w:p>
      <w:pPr>
        <w:pStyle w:val="Normal"/>
        <w:rPr>
          <w:szCs w:val="20"/>
        </w:rPr>
      </w:pPr>
      <w:r>
        <w:rPr>
          <w:szCs w:val="20"/>
        </w:rPr>
      </w:r>
    </w:p>
    <w:p>
      <w:pPr>
        <w:pStyle w:val="Ttulo2"/>
        <w:numPr>
          <w:ilvl w:val="1"/>
          <w:numId w:val="2"/>
        </w:numPr>
        <w:rPr/>
      </w:pPr>
      <w:r>
        <w:rPr/>
        <w:t>Caberá à CONTRATADA obter e arcar com os gastos de todas as licenças e franquias, pagar encargos sociais e impostos municipais, estaduais e federais que incidirem sobre a execução dos serviços.</w:t>
      </w:r>
    </w:p>
    <w:p>
      <w:pPr>
        <w:pStyle w:val="Normal"/>
        <w:rPr>
          <w:szCs w:val="20"/>
        </w:rPr>
      </w:pPr>
      <w:r>
        <w:rPr>
          <w:szCs w:val="20"/>
        </w:rPr>
      </w:r>
    </w:p>
    <w:p>
      <w:pPr>
        <w:pStyle w:val="Ttulo3"/>
        <w:numPr>
          <w:ilvl w:val="2"/>
          <w:numId w:val="2"/>
        </w:numPr>
        <w:rPr/>
      </w:pPr>
      <w:r>
        <w:rPr/>
        <w:t>Obter junto à Prefeitura Municipal correspondente o alvará de construção e, se necessário, o alvará de demolição, na forma das disposições em vigor.</w:t>
      </w:r>
    </w:p>
    <w:p>
      <w:pPr>
        <w:pStyle w:val="Normal"/>
        <w:rPr>
          <w:szCs w:val="20"/>
        </w:rPr>
      </w:pPr>
      <w:r>
        <w:rPr>
          <w:szCs w:val="20"/>
        </w:rPr>
      </w:r>
    </w:p>
    <w:p>
      <w:pPr>
        <w:pStyle w:val="Ttulo2"/>
        <w:numPr>
          <w:ilvl w:val="1"/>
          <w:numId w:val="2"/>
        </w:numPr>
        <w:rPr/>
      </w:pPr>
      <w:r>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infrigência da legislação em vigor, por parte da CONTRATADA.</w:t>
      </w:r>
    </w:p>
    <w:p>
      <w:pPr>
        <w:pStyle w:val="Normal"/>
        <w:rPr>
          <w:szCs w:val="20"/>
        </w:rPr>
      </w:pPr>
      <w:r>
        <w:rPr>
          <w:szCs w:val="20"/>
        </w:rPr>
      </w:r>
    </w:p>
    <w:p>
      <w:pPr>
        <w:pStyle w:val="Ttulo2"/>
        <w:numPr>
          <w:ilvl w:val="1"/>
          <w:numId w:val="2"/>
        </w:numPr>
        <w:rPr/>
      </w:pPr>
      <w:r>
        <w:rPr/>
        <w:t>A CONTRATADA será responsável, perante a Codevasf, pela qualidade do total dos serviços, bem como pela qualidade dos relatórios/documentos gerados, no que diz respeito à observância de normas técnicas e códigos profissionais.</w:t>
      </w:r>
    </w:p>
    <w:p>
      <w:pPr>
        <w:pStyle w:val="Normal"/>
        <w:rPr>
          <w:szCs w:val="20"/>
          <w:u w:val="single"/>
        </w:rPr>
      </w:pPr>
      <w:r>
        <w:rPr>
          <w:szCs w:val="20"/>
          <w:u w:val="single"/>
        </w:rPr>
      </w:r>
    </w:p>
    <w:p>
      <w:pPr>
        <w:pStyle w:val="Ttulo2"/>
        <w:numPr>
          <w:ilvl w:val="1"/>
          <w:numId w:val="2"/>
        </w:numPr>
        <w:rPr/>
      </w:pPr>
      <w:r>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pPr>
        <w:pStyle w:val="Normal"/>
        <w:rPr>
          <w:szCs w:val="20"/>
        </w:rPr>
      </w:pPr>
      <w:r>
        <w:rPr>
          <w:szCs w:val="20"/>
        </w:rPr>
      </w:r>
    </w:p>
    <w:p>
      <w:pPr>
        <w:pStyle w:val="Ttulo2"/>
        <w:numPr>
          <w:ilvl w:val="1"/>
          <w:numId w:val="2"/>
        </w:numPr>
        <w:rPr/>
      </w:pPr>
      <w:r>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pPr>
        <w:pStyle w:val="Normal"/>
        <w:rPr>
          <w:szCs w:val="20"/>
        </w:rPr>
      </w:pPr>
      <w:r>
        <w:rPr>
          <w:szCs w:val="20"/>
        </w:rPr>
      </w:r>
    </w:p>
    <w:p>
      <w:pPr>
        <w:pStyle w:val="Ttulo2"/>
        <w:numPr>
          <w:ilvl w:val="1"/>
          <w:numId w:val="2"/>
        </w:numPr>
        <w:rPr/>
      </w:pPr>
      <w:r>
        <w:rPr/>
        <w:t>A CONTRATADA entende e aceita que é condicionante para na execução das obras e serviços de engenharia objeto da presente licitação atender ainda às seguintes normas complementares:</w:t>
      </w:r>
    </w:p>
    <w:p>
      <w:pPr>
        <w:pStyle w:val="Normal"/>
        <w:rPr>
          <w:szCs w:val="20"/>
        </w:rPr>
      </w:pPr>
      <w:r>
        <w:rPr>
          <w:szCs w:val="20"/>
        </w:rPr>
      </w:r>
    </w:p>
    <w:p>
      <w:pPr>
        <w:pStyle w:val="Ttulo3"/>
        <w:numPr>
          <w:ilvl w:val="2"/>
          <w:numId w:val="2"/>
        </w:numPr>
        <w:rPr/>
      </w:pPr>
      <w:r>
        <w:rPr/>
        <w:t>Códigos, leis, decretos, portarias e normas federais, estaduais e municipais, inclusive normas de concessionárias de serviços públicos, e as normas técnicas da Codevasf.</w:t>
      </w:r>
    </w:p>
    <w:p>
      <w:pPr>
        <w:pStyle w:val="Ttulo3"/>
        <w:numPr>
          <w:ilvl w:val="2"/>
          <w:numId w:val="2"/>
        </w:numPr>
        <w:rPr/>
      </w:pPr>
      <w:r>
        <w:rPr/>
        <w:t>Normas técnicas da ABNT e do INMETRO, principalmente no que diz respeito aos requisitos mínimos de qualidade, utilidade, resistência e segurança.</w:t>
      </w:r>
    </w:p>
    <w:p>
      <w:pPr>
        <w:pStyle w:val="Normal"/>
        <w:rPr>
          <w:szCs w:val="20"/>
        </w:rPr>
      </w:pPr>
      <w:r>
        <w:rPr>
          <w:szCs w:val="20"/>
        </w:rPr>
      </w:r>
    </w:p>
    <w:p>
      <w:pPr>
        <w:pStyle w:val="Ttulo2"/>
        <w:numPr>
          <w:ilvl w:val="1"/>
          <w:numId w:val="2"/>
        </w:numPr>
        <w:rPr/>
      </w:pPr>
      <w:r>
        <w:rPr/>
        <w:t>Manter no local das obras e serviços de engenharia uma pasta com todos os documentos previstos e necessários para execução do objeto (ART’s, licenças ambientais, projeto básico, alvarás, etc).</w:t>
      </w:r>
    </w:p>
    <w:p>
      <w:pPr>
        <w:pStyle w:val="Normal"/>
        <w:rPr>
          <w:szCs w:val="20"/>
        </w:rPr>
      </w:pPr>
      <w:r>
        <w:rPr>
          <w:szCs w:val="20"/>
        </w:rPr>
      </w:r>
    </w:p>
    <w:p>
      <w:pPr>
        <w:pStyle w:val="Ttulo3"/>
        <w:numPr>
          <w:ilvl w:val="2"/>
          <w:numId w:val="2"/>
        </w:numPr>
        <w:rPr/>
      </w:pPr>
      <w:r>
        <w:rPr/>
        <w:t>Manter em local visível no canteiro de obras cópia da Licença Ambiental, se houver, caso contrário, cópia da legislação de dispensa do referido documento.</w:t>
      </w:r>
    </w:p>
    <w:p>
      <w:pPr>
        <w:pStyle w:val="Normal"/>
        <w:rPr>
          <w:szCs w:val="20"/>
        </w:rPr>
      </w:pPr>
      <w:r>
        <w:rPr>
          <w:szCs w:val="20"/>
        </w:rPr>
      </w:r>
    </w:p>
    <w:p>
      <w:pPr>
        <w:pStyle w:val="Ttulo2"/>
        <w:numPr>
          <w:ilvl w:val="1"/>
          <w:numId w:val="2"/>
        </w:numPr>
        <w:rPr/>
      </w:pPr>
      <w:r>
        <w:rPr/>
        <w:t>Atendimento às condicionantes ambientais necessárias à obtenção das Licenças do Empreendimento, emitidas pelo órgão competente, relativas à execução das obras.</w:t>
      </w:r>
    </w:p>
    <w:p>
      <w:pPr>
        <w:pStyle w:val="Ttulo2"/>
        <w:numPr>
          <w:ilvl w:val="0"/>
          <w:numId w:val="0"/>
        </w:numPr>
        <w:ind w:left="426" w:hanging="0"/>
        <w:rPr/>
      </w:pPr>
      <w:r>
        <w:rPr/>
      </w:r>
    </w:p>
    <w:p>
      <w:pPr>
        <w:pStyle w:val="Ttulo3"/>
        <w:numPr>
          <w:ilvl w:val="2"/>
          <w:numId w:val="2"/>
        </w:numPr>
        <w:rPr/>
      </w:pPr>
      <w:r>
        <w:rPr/>
        <w:t>Ao final dos serviços as instalações do canteiro de obra deverão ser demolidas e as áreas devidamente recuperadas, conforme as recomendações básicas para proteção ambiental.</w:t>
      </w:r>
    </w:p>
    <w:p>
      <w:pPr>
        <w:pStyle w:val="Normal"/>
        <w:ind w:left="709" w:hanging="709"/>
        <w:rPr>
          <w:szCs w:val="20"/>
        </w:rPr>
      </w:pPr>
      <w:r>
        <w:rPr>
          <w:szCs w:val="20"/>
        </w:rPr>
      </w:r>
    </w:p>
    <w:p>
      <w:pPr>
        <w:pStyle w:val="Ttulo3"/>
        <w:numPr>
          <w:ilvl w:val="2"/>
          <w:numId w:val="2"/>
        </w:numPr>
        <w:rPr/>
      </w:pPr>
      <w:r>
        <w:rPr/>
        <w:t>Realizar e executar o Plano de Recuperação Ambiental de Áreas Degradadas (PRAD) das áreas onde forem realizadas intervenções em função da obra.</w:t>
      </w:r>
    </w:p>
    <w:p>
      <w:pPr>
        <w:pStyle w:val="Normal"/>
        <w:rPr>
          <w:szCs w:val="20"/>
        </w:rPr>
      </w:pPr>
      <w:r>
        <w:rPr>
          <w:szCs w:val="20"/>
        </w:rPr>
      </w:r>
    </w:p>
    <w:p>
      <w:pPr>
        <w:pStyle w:val="Ttulo3"/>
        <w:numPr>
          <w:ilvl w:val="2"/>
          <w:numId w:val="2"/>
        </w:numPr>
        <w:rPr/>
      </w:pPr>
      <w:r>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pPr>
        <w:pStyle w:val="Normal"/>
        <w:rPr>
          <w:szCs w:val="20"/>
        </w:rPr>
      </w:pPr>
      <w:r>
        <w:rPr>
          <w:szCs w:val="20"/>
        </w:rPr>
      </w:r>
    </w:p>
    <w:p>
      <w:pPr>
        <w:pStyle w:val="Ttulo3"/>
        <w:numPr>
          <w:ilvl w:val="2"/>
          <w:numId w:val="2"/>
        </w:numPr>
        <w:rPr/>
      </w:pPr>
      <w:r>
        <w:rPr/>
        <w:t>A empresa deverá emitir um relatório mensal específico acerca da regularidade ambiental do empreendimento, demonstrando a fiel observância das licenças e atos administrativos ambientais correlatos, bem como de toda a legislação ambiental vigente.</w:t>
      </w:r>
    </w:p>
    <w:p>
      <w:pPr>
        <w:pStyle w:val="Normal"/>
        <w:rPr>
          <w:szCs w:val="20"/>
        </w:rPr>
      </w:pPr>
      <w:r>
        <w:rPr>
          <w:szCs w:val="20"/>
        </w:rPr>
      </w:r>
    </w:p>
    <w:p>
      <w:pPr>
        <w:pStyle w:val="Ttulo2"/>
        <w:numPr>
          <w:ilvl w:val="1"/>
          <w:numId w:val="2"/>
        </w:numPr>
        <w:rPr/>
      </w:pPr>
      <w:r>
        <w:rPr>
          <w:shd w:fill="FFFFFF" w:val="clear"/>
        </w:rPr>
        <w:t>Disponibilizar para a equipe de Fiscalização da Codevasf 01 (um) veículo leve, em estado novo, de no máximo dois anos de uso ou 50.000km, de cor preferencialmente branca, com os dizeres conforme especificação da Codevasf, incluindo despesas operacionais, motoristas, combustível, manutenção e seguro, por período correspondente ao período da obra mais 30(trinta) dias, sendo que os custos das despesas deverão ser previstos na planilha</w:t>
      </w:r>
      <w:r>
        <w:rPr/>
        <w:t>.</w:t>
      </w:r>
    </w:p>
    <w:p>
      <w:pPr>
        <w:pStyle w:val="Normal"/>
        <w:rPr>
          <w:szCs w:val="20"/>
        </w:rPr>
      </w:pPr>
      <w:r>
        <w:rPr>
          <w:szCs w:val="20"/>
        </w:rPr>
      </w:r>
    </w:p>
    <w:p>
      <w:pPr>
        <w:pStyle w:val="Ttulo2"/>
        <w:numPr>
          <w:ilvl w:val="1"/>
          <w:numId w:val="2"/>
        </w:numPr>
        <w:rPr/>
      </w:pPr>
      <w:r>
        <w:rPr/>
        <w:t>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pPr>
        <w:pStyle w:val="Ttulo2"/>
        <w:numPr>
          <w:ilvl w:val="0"/>
          <w:numId w:val="0"/>
        </w:numPr>
        <w:ind w:left="426" w:hanging="0"/>
        <w:rPr/>
      </w:pPr>
      <w:r>
        <w:rPr/>
      </w:r>
    </w:p>
    <w:p>
      <w:pPr>
        <w:pStyle w:val="Ttulo2"/>
        <w:numPr>
          <w:ilvl w:val="1"/>
          <w:numId w:val="2"/>
        </w:numPr>
        <w:rPr/>
      </w:pPr>
      <w:r>
        <w:rPr/>
        <w:t>Instalar e manter no canteiro de obras 01 (uma) placa de identificação da obra, com as seguintes informações: nome da empresa (contratada), RT pela obra com a respectiva ART, nº do Contrato e contratante (Codevasf), conforme Lei nº 5.194/1966 e Resolução CONFEA nº 198/1971.</w:t>
      </w:r>
    </w:p>
    <w:p>
      <w:pPr>
        <w:pStyle w:val="Normal"/>
        <w:rPr>
          <w:szCs w:val="20"/>
        </w:rPr>
      </w:pPr>
      <w:r>
        <w:rPr>
          <w:szCs w:val="20"/>
        </w:rPr>
      </w:r>
    </w:p>
    <w:p>
      <w:pPr>
        <w:pStyle w:val="Ttulo3"/>
        <w:numPr>
          <w:ilvl w:val="2"/>
          <w:numId w:val="2"/>
        </w:numPr>
        <w:rPr/>
      </w:pPr>
      <w:r>
        <w:rPr/>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w:t>
      </w:r>
      <w:r>
        <w:rPr/>
        <w:fldChar w:fldCharType="begin"/>
      </w:r>
      <w:r>
        <w:instrText> REF _Ref450206111 \h </w:instrText>
      </w:r>
      <w:r>
        <w:fldChar w:fldCharType="separate"/>
      </w:r>
      <w:r>
        <w:t>Anexo V</w:t>
      </w:r>
      <w:r>
        <w:fldChar w:fldCharType="end"/>
      </w:r>
      <w:r>
        <w:rPr/>
        <w:t>.</w:t>
      </w:r>
    </w:p>
    <w:p>
      <w:pPr>
        <w:pStyle w:val="Normal"/>
        <w:rPr>
          <w:szCs w:val="20"/>
        </w:rPr>
      </w:pPr>
      <w:r>
        <w:rPr>
          <w:szCs w:val="20"/>
        </w:rPr>
      </w:r>
    </w:p>
    <w:p>
      <w:pPr>
        <w:pStyle w:val="Ttulo2"/>
        <w:numPr>
          <w:ilvl w:val="1"/>
          <w:numId w:val="2"/>
        </w:numPr>
        <w:rPr/>
      </w:pPr>
      <w:r>
        <w:rPr/>
        <w:t>Instalar e manter, sem ônus para a Codevasf, no canteiro de obras, um escritório e os meios necessários à execução da fiscalização e medição dos serviços por parte da Codevasf, para uso exclusivo da Fiscalização da Codevasf, com área mínima de (15m²), incluindo banheiro, com imobiliário completo incluindo: mesa, cadeiras, armários, ar condicionado, telefone e 01 notebook com periféricos, hardware atual e software adequado ao acompanhamento da obra (MS Project e Autocad), administração de escritório e comunicação, Internet, materiais de escritório necessários à operação dos equipamentos e desempenho das atividades pelo período correspondente ao da execução dos serviços e 01 aparelho de ar-condicionado, sendo que ao final das obras todos os materiais não utilizados e equipamentos serão devolvidos à CONTRATADA</w:t>
      </w:r>
    </w:p>
    <w:p>
      <w:pPr>
        <w:pStyle w:val="Ttulo2"/>
        <w:numPr>
          <w:ilvl w:val="1"/>
          <w:numId w:val="2"/>
        </w:numPr>
        <w:rPr/>
      </w:pPr>
      <w:r>
        <w:rPr/>
      </w:r>
    </w:p>
    <w:p>
      <w:pPr>
        <w:pStyle w:val="Ttulo2"/>
        <w:numPr>
          <w:ilvl w:val="1"/>
          <w:numId w:val="2"/>
        </w:numPr>
        <w:rPr/>
      </w:pPr>
      <w:r>
        <w:rPr/>
        <w:t>Disponibilizar para a equipe da Fiscalização da Codevasf,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obras e serviços de engenharia.</w:t>
      </w:r>
    </w:p>
    <w:p>
      <w:pPr>
        <w:pStyle w:val="Normal"/>
        <w:rPr>
          <w:szCs w:val="20"/>
        </w:rPr>
      </w:pPr>
      <w:r>
        <w:rPr>
          <w:szCs w:val="20"/>
        </w:rPr>
      </w:r>
    </w:p>
    <w:p>
      <w:pPr>
        <w:pStyle w:val="Ttulo2"/>
        <w:numPr>
          <w:ilvl w:val="1"/>
          <w:numId w:val="2"/>
        </w:numPr>
        <w:rPr/>
      </w:pPr>
      <w:r>
        <w:rP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todos equipamentos serão devolvidos à CONTRATADA.</w:t>
      </w:r>
    </w:p>
    <w:p>
      <w:pPr>
        <w:pStyle w:val="Normal"/>
        <w:rPr>
          <w:szCs w:val="20"/>
        </w:rPr>
      </w:pPr>
      <w:r>
        <w:rPr>
          <w:szCs w:val="20"/>
        </w:rPr>
      </w:r>
    </w:p>
    <w:p>
      <w:pPr>
        <w:pStyle w:val="Ttulo2"/>
        <w:numPr>
          <w:ilvl w:val="1"/>
          <w:numId w:val="2"/>
        </w:numPr>
        <w:rPr/>
      </w:pPr>
      <w:r>
        <w:rPr/>
        <w:t>Submeter à aprovação da fiscalização os protótipos ou amostras dos materiais e equipamentos a serem aplicados nas obras e serviços de engenharia objeto do contrato, inclusive os traços dos concretos a serem utilizados.</w:t>
      </w:r>
    </w:p>
    <w:p>
      <w:pPr>
        <w:pStyle w:val="Normal"/>
        <w:rPr>
          <w:szCs w:val="20"/>
        </w:rPr>
      </w:pPr>
      <w:r>
        <w:rPr>
          <w:szCs w:val="20"/>
        </w:rPr>
      </w:r>
    </w:p>
    <w:p>
      <w:pPr>
        <w:pStyle w:val="Ttulo2"/>
        <w:numPr>
          <w:ilvl w:val="1"/>
          <w:numId w:val="2"/>
        </w:numPr>
        <w:rPr/>
      </w:pPr>
      <w:r>
        <w:rP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pPr>
        <w:pStyle w:val="Normal"/>
        <w:rPr>
          <w:szCs w:val="20"/>
        </w:rPr>
      </w:pPr>
      <w:r>
        <w:rPr>
          <w:szCs w:val="20"/>
        </w:rPr>
      </w:r>
    </w:p>
    <w:p>
      <w:pPr>
        <w:pStyle w:val="Ttulo2"/>
        <w:numPr>
          <w:ilvl w:val="1"/>
          <w:numId w:val="2"/>
        </w:numPr>
        <w:rPr/>
      </w:pPr>
      <w:r>
        <w:rPr/>
        <w:t>Exercer a vigilância e proteção de todos os materiais e equipamentos no local das obras, inclusive dos barracões e instalações.</w:t>
      </w:r>
    </w:p>
    <w:p>
      <w:pPr>
        <w:pStyle w:val="Normal"/>
        <w:rPr>
          <w:szCs w:val="20"/>
        </w:rPr>
      </w:pPr>
      <w:r>
        <w:rPr>
          <w:szCs w:val="20"/>
        </w:rPr>
      </w:r>
    </w:p>
    <w:p>
      <w:pPr>
        <w:pStyle w:val="Ttulo2"/>
        <w:numPr>
          <w:ilvl w:val="1"/>
          <w:numId w:val="2"/>
        </w:numPr>
        <w:rPr/>
      </w:pPr>
      <w:r>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pPr>
        <w:pStyle w:val="Normal"/>
        <w:rPr>
          <w:szCs w:val="20"/>
        </w:rPr>
      </w:pPr>
      <w:r>
        <w:rPr>
          <w:szCs w:val="20"/>
        </w:rPr>
      </w:r>
    </w:p>
    <w:p>
      <w:pPr>
        <w:pStyle w:val="Ttulo2"/>
        <w:numPr>
          <w:ilvl w:val="1"/>
          <w:numId w:val="2"/>
        </w:numPr>
        <w:rPr/>
      </w:pPr>
      <w:r>
        <w:rPr/>
        <w:t>A CONTRATADA deverá manter um Preposto, aceito pela Codevasf, no local do serviço, para representá-la na execução do objeto contratado.</w:t>
      </w:r>
    </w:p>
    <w:p>
      <w:pPr>
        <w:pStyle w:val="Normal"/>
        <w:rPr>
          <w:szCs w:val="20"/>
        </w:rPr>
      </w:pPr>
      <w:r>
        <w:rPr>
          <w:szCs w:val="20"/>
        </w:rPr>
      </w:r>
    </w:p>
    <w:p>
      <w:pPr>
        <w:pStyle w:val="Ttulo2"/>
        <w:numPr>
          <w:ilvl w:val="1"/>
          <w:numId w:val="2"/>
        </w:numPr>
        <w:rPr/>
      </w:pPr>
      <w:r>
        <w:rPr/>
        <w:t>Responsabilizar-se, desde o início dos serviços até o encerramento do contrato, pelo pagamento integral das despesas do canteiro referentes a água, energia, telefone, taxas, impostos e quaisquer outros tributos que venham a ser cobrados.</w:t>
      </w:r>
    </w:p>
    <w:p>
      <w:pPr>
        <w:pStyle w:val="Normal"/>
        <w:rPr>
          <w:szCs w:val="20"/>
        </w:rPr>
      </w:pPr>
      <w:r>
        <w:rPr>
          <w:szCs w:val="20"/>
        </w:rPr>
      </w:r>
    </w:p>
    <w:p>
      <w:pPr>
        <w:pStyle w:val="Ttulo2"/>
        <w:numPr>
          <w:ilvl w:val="1"/>
          <w:numId w:val="2"/>
        </w:numPr>
        <w:rPr/>
      </w:pPr>
      <w:r>
        <w:rPr/>
        <w:t>No momento da desmobilização, para liberação da última fatura, faz-se necessária a apresentação da certidão de quitação de débitos, referente às despesas com água, energia, telefone, taxas, impostos e quaisquer outros tributos que venham a ser cobrados.</w:t>
      </w:r>
    </w:p>
    <w:p>
      <w:pPr>
        <w:pStyle w:val="Normal"/>
        <w:rPr>
          <w:szCs w:val="20"/>
        </w:rPr>
      </w:pPr>
      <w:r>
        <w:rPr>
          <w:szCs w:val="20"/>
        </w:rPr>
      </w:r>
    </w:p>
    <w:p>
      <w:pPr>
        <w:pStyle w:val="Ttulo2"/>
        <w:numPr>
          <w:ilvl w:val="1"/>
          <w:numId w:val="2"/>
        </w:numPr>
        <w:rPr/>
      </w:pPr>
      <w:r>
        <w:rPr/>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pPr>
        <w:pStyle w:val="Normal"/>
        <w:rPr>
          <w:szCs w:val="20"/>
        </w:rPr>
      </w:pPr>
      <w:r>
        <w:rPr>
          <w:szCs w:val="20"/>
        </w:rPr>
      </w:r>
    </w:p>
    <w:p>
      <w:pPr>
        <w:pStyle w:val="Ttulo3"/>
        <w:numPr>
          <w:ilvl w:val="2"/>
          <w:numId w:val="2"/>
        </w:numPr>
        <w:rPr/>
      </w:pPr>
      <w:r>
        <w:rPr/>
        <w:t>A CONTRATADA deverá comunicar à Fiscalização toda a mobilização de pessoal e equipamentos, quando da chegada à obra, a qual deverá ser devidamente anotada no Diário de Obras, para acompanhamento e controle da Codevasf.</w:t>
      </w:r>
    </w:p>
    <w:p>
      <w:pPr>
        <w:pStyle w:val="Normal"/>
        <w:rPr>
          <w:szCs w:val="20"/>
        </w:rPr>
      </w:pPr>
      <w:r>
        <w:rPr>
          <w:szCs w:val="20"/>
        </w:rPr>
      </w:r>
    </w:p>
    <w:p>
      <w:pPr>
        <w:pStyle w:val="Ttulo2"/>
        <w:numPr>
          <w:ilvl w:val="1"/>
          <w:numId w:val="2"/>
        </w:numPr>
        <w:rPr/>
      </w:pPr>
      <w:r>
        <w:rP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45" w:name="_Toc514937660"/>
      <w:bookmarkEnd w:id="45"/>
      <w:r>
        <w:rPr>
          <w:szCs w:val="20"/>
        </w:rPr>
        <w:t>OBRIGAÇÕES DA CODEVASF</w:t>
      </w:r>
    </w:p>
    <w:p>
      <w:pPr>
        <w:pStyle w:val="Normal"/>
        <w:rPr>
          <w:szCs w:val="20"/>
        </w:rPr>
      </w:pPr>
      <w:r>
        <w:rPr>
          <w:szCs w:val="20"/>
        </w:rPr>
      </w:r>
    </w:p>
    <w:p>
      <w:pPr>
        <w:pStyle w:val="Ttulo2"/>
        <w:numPr>
          <w:ilvl w:val="1"/>
          <w:numId w:val="2"/>
        </w:numPr>
        <w:rPr/>
      </w:pPr>
      <w:r>
        <w:rPr/>
        <w:t>Exigir da CONTRATADA o cumprimento integral deste Contrato.</w:t>
      </w:r>
    </w:p>
    <w:p>
      <w:pPr>
        <w:pStyle w:val="Ttulo2"/>
        <w:numPr>
          <w:ilvl w:val="0"/>
          <w:numId w:val="0"/>
        </w:numPr>
        <w:ind w:left="426" w:hanging="0"/>
        <w:rPr/>
      </w:pPr>
      <w:r>
        <w:rPr/>
      </w:r>
    </w:p>
    <w:p>
      <w:pPr>
        <w:pStyle w:val="Ttulo2"/>
        <w:numPr>
          <w:ilvl w:val="1"/>
          <w:numId w:val="2"/>
        </w:numPr>
        <w:rPr/>
      </w:pPr>
      <w:r>
        <w:rPr/>
        <w:t>Esclarecer as dúvidas que lhe sejam apresentadas pela CONTRATADA, através de correspondências protocoladas.</w:t>
      </w:r>
    </w:p>
    <w:p>
      <w:pPr>
        <w:pStyle w:val="Ttulo2"/>
        <w:numPr>
          <w:ilvl w:val="0"/>
          <w:numId w:val="0"/>
        </w:numPr>
        <w:ind w:left="426" w:hanging="0"/>
        <w:rPr/>
      </w:pPr>
      <w:r>
        <w:rPr/>
      </w:r>
    </w:p>
    <w:p>
      <w:pPr>
        <w:pStyle w:val="Ttulo2"/>
        <w:numPr>
          <w:ilvl w:val="1"/>
          <w:numId w:val="2"/>
        </w:numPr>
        <w:rPr/>
      </w:pPr>
      <w:r>
        <w:rPr/>
        <w:t>Fiscalizar e acompanhar a execução do objeto do contrato.</w:t>
      </w:r>
    </w:p>
    <w:p>
      <w:pPr>
        <w:pStyle w:val="Normal"/>
        <w:rPr>
          <w:szCs w:val="20"/>
        </w:rPr>
      </w:pPr>
      <w:r>
        <w:rPr>
          <w:szCs w:val="20"/>
        </w:rPr>
      </w:r>
    </w:p>
    <w:p>
      <w:pPr>
        <w:pStyle w:val="Ttulo2"/>
        <w:numPr>
          <w:ilvl w:val="1"/>
          <w:numId w:val="2"/>
        </w:numPr>
        <w:rPr/>
      </w:pPr>
      <w:r>
        <w:rPr/>
        <w:t>Expedir por escrito, as determinações e comunicações dirigidas a CONTRATADA, determinando as providências necessárias à correção das falhas observadas.</w:t>
      </w:r>
    </w:p>
    <w:p>
      <w:pPr>
        <w:pStyle w:val="Normal"/>
        <w:rPr>
          <w:szCs w:val="20"/>
        </w:rPr>
      </w:pPr>
      <w:r>
        <w:rPr>
          <w:szCs w:val="20"/>
        </w:rPr>
      </w:r>
    </w:p>
    <w:p>
      <w:pPr>
        <w:pStyle w:val="Ttulo2"/>
        <w:numPr>
          <w:ilvl w:val="1"/>
          <w:numId w:val="2"/>
        </w:numPr>
        <w:rPr/>
      </w:pPr>
      <w:r>
        <w:rPr/>
        <w:t>Rejeitar todo e qualquer serviço inadequado, incompleto ou não especificado e estipular prazo para sua retificação.</w:t>
      </w:r>
    </w:p>
    <w:p>
      <w:pPr>
        <w:pStyle w:val="Ttulo2"/>
        <w:numPr>
          <w:ilvl w:val="0"/>
          <w:numId w:val="0"/>
        </w:numPr>
        <w:ind w:left="426" w:hanging="0"/>
        <w:rPr/>
      </w:pPr>
      <w:r>
        <w:rPr/>
      </w:r>
    </w:p>
    <w:p>
      <w:pPr>
        <w:pStyle w:val="Ttulo2"/>
        <w:numPr>
          <w:ilvl w:val="1"/>
          <w:numId w:val="2"/>
        </w:numPr>
        <w:rPr/>
      </w:pPr>
      <w:r>
        <w:rPr/>
        <w:t>Emitir parecer para liberação das faturas, e receber as obras e serviços contratados.</w:t>
      </w:r>
    </w:p>
    <w:p>
      <w:pPr>
        <w:pStyle w:val="Normal"/>
        <w:rPr>
          <w:szCs w:val="20"/>
        </w:rPr>
      </w:pPr>
      <w:r>
        <w:rPr>
          <w:szCs w:val="20"/>
        </w:rPr>
      </w:r>
    </w:p>
    <w:p>
      <w:pPr>
        <w:pStyle w:val="Ttulo2"/>
        <w:numPr>
          <w:ilvl w:val="1"/>
          <w:numId w:val="2"/>
        </w:numPr>
        <w:rPr/>
      </w:pPr>
      <w:r>
        <w:rPr/>
        <w:t>Efetuar o pagamento no prazo previsto no contrato.</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46" w:name="_Toc514937661"/>
      <w:bookmarkEnd w:id="46"/>
      <w:r>
        <w:rPr>
          <w:szCs w:val="20"/>
        </w:rPr>
        <w:t>CONDIÇÕES GERAIS</w:t>
      </w:r>
    </w:p>
    <w:p>
      <w:pPr>
        <w:pStyle w:val="Normal"/>
        <w:rPr>
          <w:szCs w:val="20"/>
        </w:rPr>
      </w:pPr>
      <w:r>
        <w:rPr>
          <w:szCs w:val="20"/>
        </w:rPr>
      </w:r>
    </w:p>
    <w:p>
      <w:pPr>
        <w:pStyle w:val="Ttulo2"/>
        <w:numPr>
          <w:ilvl w:val="1"/>
          <w:numId w:val="2"/>
        </w:numPr>
        <w:rPr/>
      </w:pPr>
      <w:r>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pPr>
        <w:pStyle w:val="Normal"/>
        <w:rPr>
          <w:szCs w:val="20"/>
        </w:rPr>
      </w:pPr>
      <w:r>
        <w:rPr>
          <w:szCs w:val="20"/>
        </w:rPr>
      </w:r>
    </w:p>
    <w:p>
      <w:pPr>
        <w:pStyle w:val="Ttulo2"/>
        <w:numPr>
          <w:ilvl w:val="1"/>
          <w:numId w:val="2"/>
        </w:numPr>
        <w:rPr/>
      </w:pPr>
      <w:r>
        <w:rPr/>
        <w:t>Este Termo de Referência e seus anexos farão parte integrante do contrato a ser firmado com a CONTRATADA, independente de transições.</w:t>
      </w:r>
    </w:p>
    <w:p>
      <w:pPr>
        <w:pStyle w:val="Normal"/>
        <w:rPr>
          <w:szCs w:val="20"/>
        </w:rPr>
      </w:pPr>
      <w:r>
        <w:rPr>
          <w:szCs w:val="20"/>
        </w:rPr>
      </w:r>
    </w:p>
    <w:p>
      <w:pPr>
        <w:pStyle w:val="Normal"/>
        <w:rPr>
          <w:szCs w:val="20"/>
        </w:rPr>
      </w:pPr>
      <w:r>
        <w:rPr>
          <w:szCs w:val="20"/>
        </w:rPr>
      </w:r>
    </w:p>
    <w:p>
      <w:pPr>
        <w:pStyle w:val="Ttulo1"/>
        <w:numPr>
          <w:ilvl w:val="0"/>
          <w:numId w:val="2"/>
        </w:numPr>
        <w:rPr>
          <w:szCs w:val="20"/>
        </w:rPr>
      </w:pPr>
      <w:bookmarkStart w:id="47" w:name="_Toc514937662"/>
      <w:bookmarkStart w:id="48" w:name="_Ref441139391"/>
      <w:bookmarkEnd w:id="47"/>
      <w:bookmarkEnd w:id="48"/>
      <w:r>
        <w:rPr>
          <w:szCs w:val="20"/>
        </w:rPr>
        <w:t>ANEXOS</w:t>
      </w:r>
    </w:p>
    <w:p>
      <w:pPr>
        <w:pStyle w:val="Normal"/>
        <w:rPr>
          <w:szCs w:val="20"/>
        </w:rPr>
      </w:pPr>
      <w:r>
        <w:rPr>
          <w:szCs w:val="20"/>
        </w:rPr>
      </w:r>
    </w:p>
    <w:p>
      <w:pPr>
        <w:pStyle w:val="Normal"/>
        <w:rPr>
          <w:szCs w:val="20"/>
        </w:rPr>
      </w:pPr>
      <w:r>
        <w:rPr>
          <w:szCs w:val="20"/>
        </w:rPr>
        <w:t>São ainda, documentos integrantes deste Termo de Referência, CD-ROM contendo:</w:t>
      </w:r>
    </w:p>
    <w:p>
      <w:pPr>
        <w:pStyle w:val="Normal"/>
        <w:rPr>
          <w:szCs w:val="20"/>
        </w:rPr>
      </w:pPr>
      <w:r>
        <w:rPr>
          <w:szCs w:val="20"/>
        </w:rPr>
      </w:r>
    </w:p>
    <w:p>
      <w:pPr>
        <w:pStyle w:val="ListParagraph"/>
        <w:numPr>
          <w:ilvl w:val="0"/>
          <w:numId w:val="10"/>
        </w:numPr>
        <w:rPr/>
      </w:pPr>
      <w:r>
        <w:rPr>
          <w:szCs w:val="20"/>
        </w:rPr>
        <w:fldChar w:fldCharType="begin"/>
      </w:r>
      <w:r>
        <w:instrText> REF _Ref462845863 \h </w:instrText>
      </w:r>
      <w:r>
        <w:fldChar w:fldCharType="separate"/>
      </w:r>
      <w:r>
        <w:t>Anexo I: Justificativas</w:t>
      </w:r>
      <w:r>
        <w:fldChar w:fldCharType="end"/>
      </w:r>
      <w:r>
        <w:rPr>
          <w:szCs w:val="20"/>
        </w:rPr>
        <w:t>;</w:t>
      </w:r>
    </w:p>
    <w:p>
      <w:pPr>
        <w:pStyle w:val="ListParagraph"/>
        <w:numPr>
          <w:ilvl w:val="0"/>
          <w:numId w:val="10"/>
        </w:numPr>
        <w:rPr/>
      </w:pPr>
      <w:r>
        <w:rPr>
          <w:szCs w:val="20"/>
        </w:rPr>
        <w:fldChar w:fldCharType="begin"/>
      </w:r>
      <w:r>
        <w:instrText> REF _Ref450206147 \h </w:instrText>
      </w:r>
      <w:r>
        <w:fldChar w:fldCharType="separate"/>
      </w:r>
      <w:r>
        <w:t>Anexo II: Modelo de Declaração de Conhecimento do Local de Execução dos Serviços</w:t>
      </w:r>
      <w:r>
        <w:fldChar w:fldCharType="end"/>
      </w:r>
      <w:r>
        <w:rPr>
          <w:szCs w:val="20"/>
        </w:rPr>
        <w:t>;</w:t>
      </w:r>
    </w:p>
    <w:p>
      <w:pPr>
        <w:pStyle w:val="ListParagraph"/>
        <w:numPr>
          <w:ilvl w:val="0"/>
          <w:numId w:val="10"/>
        </w:numPr>
        <w:rPr/>
      </w:pPr>
      <w:r>
        <w:rPr>
          <w:szCs w:val="20"/>
        </w:rPr>
        <w:fldChar w:fldCharType="begin"/>
      </w:r>
      <w:r>
        <w:instrText> REF _Ref450206149 \h </w:instrText>
      </w:r>
      <w:r>
        <w:fldChar w:fldCharType="separate"/>
      </w:r>
      <w:r>
        <w:t>Anexo III: Detalhamento dos Encargos Sociais e do BDI</w:t>
      </w:r>
      <w:r>
        <w:fldChar w:fldCharType="end"/>
      </w:r>
      <w:r>
        <w:rPr>
          <w:szCs w:val="20"/>
        </w:rPr>
        <w:t>;</w:t>
      </w:r>
    </w:p>
    <w:p>
      <w:pPr>
        <w:pStyle w:val="ListParagraph"/>
        <w:numPr>
          <w:ilvl w:val="0"/>
          <w:numId w:val="10"/>
        </w:numPr>
        <w:ind w:left="1491" w:hanging="357"/>
        <w:rPr>
          <w:szCs w:val="20"/>
        </w:rPr>
      </w:pPr>
      <w:r>
        <w:rPr>
          <w:szCs w:val="20"/>
        </w:rPr>
        <w:t>Detalhamento dos Encargos Sociais (PO-XIV) – Horista e Mensalista;</w:t>
      </w:r>
    </w:p>
    <w:p>
      <w:pPr>
        <w:pStyle w:val="ListParagraph"/>
        <w:numPr>
          <w:ilvl w:val="0"/>
          <w:numId w:val="10"/>
        </w:numPr>
        <w:ind w:left="1491" w:hanging="357"/>
        <w:rPr>
          <w:szCs w:val="20"/>
        </w:rPr>
      </w:pPr>
      <w:r>
        <w:rPr>
          <w:szCs w:val="20"/>
        </w:rPr>
        <w:t>Detalhamento do BDI – (PO-XV) – Serviços;</w:t>
      </w:r>
    </w:p>
    <w:p>
      <w:pPr>
        <w:pStyle w:val="ListParagraph"/>
        <w:numPr>
          <w:ilvl w:val="0"/>
          <w:numId w:val="10"/>
        </w:numPr>
        <w:ind w:left="1491" w:hanging="357"/>
        <w:rPr>
          <w:szCs w:val="20"/>
        </w:rPr>
      </w:pPr>
      <w:r>
        <w:rPr>
          <w:szCs w:val="20"/>
        </w:rPr>
        <w:t>Detalhamento do BDI – (PO-XV) – Fornecimento.</w:t>
      </w:r>
    </w:p>
    <w:p>
      <w:pPr>
        <w:pStyle w:val="ListParagraph"/>
        <w:numPr>
          <w:ilvl w:val="0"/>
          <w:numId w:val="10"/>
        </w:numPr>
        <w:rPr/>
      </w:pPr>
      <w:r>
        <w:rPr>
          <w:szCs w:val="20"/>
        </w:rPr>
        <w:fldChar w:fldCharType="begin"/>
      </w:r>
      <w:r>
        <w:instrText> REF _Ref450206152 \h </w:instrText>
      </w:r>
      <w:r>
        <w:fldChar w:fldCharType="separate"/>
      </w:r>
      <w:r>
        <w:t>Anexo IV: Projeto Básico / Normas, Especificações Técnicas, Desenhos e memoriais</w:t>
      </w:r>
      <w:r>
        <w:fldChar w:fldCharType="end"/>
      </w:r>
      <w:r>
        <w:rPr>
          <w:szCs w:val="20"/>
        </w:rPr>
        <w:t>;</w:t>
      </w:r>
    </w:p>
    <w:p>
      <w:pPr>
        <w:pStyle w:val="ListParagraph"/>
        <w:numPr>
          <w:ilvl w:val="0"/>
          <w:numId w:val="10"/>
        </w:numPr>
        <w:rPr/>
      </w:pPr>
      <w:r>
        <w:rPr>
          <w:szCs w:val="20"/>
        </w:rPr>
        <w:fldChar w:fldCharType="begin"/>
      </w:r>
      <w:r>
        <w:instrText> REF _Ref450206154 \h </w:instrText>
      </w:r>
      <w:r>
        <w:fldChar w:fldCharType="separate"/>
      </w:r>
      <w:r>
        <w:t>Anexo V: Manual de Uso da Marca do Governo</w:t>
      </w:r>
      <w:r>
        <w:fldChar w:fldCharType="end"/>
      </w:r>
      <w:r>
        <w:rPr>
          <w:szCs w:val="20"/>
        </w:rPr>
        <w:t>;</w:t>
      </w:r>
    </w:p>
    <w:p>
      <w:pPr>
        <w:pStyle w:val="ListParagraph"/>
        <w:numPr>
          <w:ilvl w:val="0"/>
          <w:numId w:val="10"/>
        </w:numPr>
        <w:rPr/>
      </w:pPr>
      <w:r>
        <w:rPr>
          <w:szCs w:val="20"/>
        </w:rPr>
        <w:fldChar w:fldCharType="begin"/>
      </w:r>
      <w:r>
        <w:instrText> REF _Ref462845951 \h </w:instrText>
      </w:r>
      <w:r>
        <w:fldChar w:fldCharType="separate"/>
      </w:r>
      <w:r>
        <w:t>Anexo VI: Planilha de Custos do Valor do Orçamento de Referência</w:t>
      </w:r>
      <w:r>
        <w:fldChar w:fldCharType="end"/>
      </w:r>
      <w:r>
        <w:rPr>
          <w:szCs w:val="20"/>
        </w:rPr>
        <w:t>.</w:t>
      </w:r>
    </w:p>
    <w:p>
      <w:pPr>
        <w:pStyle w:val="Normal"/>
        <w:rPr>
          <w:szCs w:val="20"/>
        </w:rPr>
      </w:pPr>
      <w:r>
        <w:rPr>
          <w:szCs w:val="20"/>
        </w:rPr>
      </w:r>
      <w:r>
        <w:br w:type="page"/>
      </w:r>
    </w:p>
    <w:p>
      <w:pPr>
        <w:pStyle w:val="Normal"/>
        <w:spacing w:lineRule="auto" w:line="276" w:before="0" w:after="200"/>
        <w:jc w:val="center"/>
        <w:rPr/>
      </w:pPr>
      <w:bookmarkStart w:id="49" w:name="_Ref462845891"/>
      <w:bookmarkStart w:id="50" w:name="_Ref462845883"/>
      <w:bookmarkStart w:id="51" w:name="_Ref462845863"/>
      <w:bookmarkStart w:id="52" w:name="_Ref450206143"/>
      <w:bookmarkStart w:id="53" w:name="_Ref441155482"/>
      <w:bookmarkStart w:id="54" w:name="_Toc440982774"/>
      <w:bookmarkStart w:id="55" w:name="_Ref440982424"/>
      <w:bookmarkStart w:id="56" w:name="_Ref394333211"/>
      <w:bookmarkStart w:id="57" w:name="_Toc392675799"/>
      <w:bookmarkStart w:id="58" w:name="_Toc352230692"/>
      <w:bookmarkStart w:id="59" w:name="_Ref450205714"/>
      <w:r>
        <w:rPr>
          <w:b/>
          <w:szCs w:val="20"/>
        </w:rPr>
        <w:t xml:space="preserve">Anexo </w:t>
      </w:r>
      <w:r>
        <w:rPr>
          <w:b/>
          <w:szCs w:val="20"/>
        </w:rPr>
        <w:fldChar w:fldCharType="begin"/>
      </w:r>
      <w:r>
        <w:instrText> SEQ Anexo \* ROMAN </w:instrText>
      </w:r>
      <w:r>
        <w:fldChar w:fldCharType="separate"/>
      </w:r>
      <w:r>
        <w:t>I</w:t>
      </w:r>
      <w:r>
        <w:fldChar w:fldCharType="end"/>
      </w:r>
      <w:bookmarkEnd w:id="59"/>
      <w:bookmarkEnd w:id="49"/>
      <w:bookmarkEnd w:id="50"/>
      <w:bookmarkEnd w:id="51"/>
      <w:bookmarkEnd w:id="52"/>
      <w:bookmarkEnd w:id="53"/>
      <w:bookmarkEnd w:id="54"/>
      <w:bookmarkEnd w:id="55"/>
      <w:bookmarkEnd w:id="56"/>
      <w:bookmarkEnd w:id="57"/>
      <w:bookmarkEnd w:id="58"/>
      <w:r>
        <w:rPr>
          <w:b/>
          <w:szCs w:val="20"/>
        </w:rPr>
        <w:t>: Justificativas</w:t>
      </w:r>
    </w:p>
    <w:p>
      <w:pPr>
        <w:pStyle w:val="Normal"/>
        <w:rPr>
          <w:szCs w:val="20"/>
        </w:rPr>
      </w:pPr>
      <w:r>
        <w:rPr>
          <w:szCs w:val="20"/>
        </w:rPr>
      </w:r>
    </w:p>
    <w:p>
      <w:pPr>
        <w:pStyle w:val="Normal"/>
        <w:rPr>
          <w:szCs w:val="20"/>
        </w:rPr>
      </w:pPr>
      <w:r>
        <w:rPr>
          <w:b/>
          <w:szCs w:val="20"/>
        </w:rPr>
        <w:t>Finalidade</w:t>
      </w:r>
      <w:r>
        <w:rPr>
          <w:szCs w:val="20"/>
        </w:rPr>
        <w:t>: este anexo tem por finalidade incluir exigências e particularidades em função da especificidade da obra ou serviço de engenharia, previstas no Termo de Referência e que aqui após relacionadas passam a integrar o TR.</w:t>
      </w:r>
    </w:p>
    <w:p>
      <w:pPr>
        <w:pStyle w:val="Normal"/>
        <w:rPr>
          <w:szCs w:val="20"/>
        </w:rPr>
      </w:pPr>
      <w:r>
        <w:rPr>
          <w:szCs w:val="20"/>
        </w:rPr>
      </w:r>
    </w:p>
    <w:p>
      <w:pPr>
        <w:pStyle w:val="Normal"/>
        <w:rPr>
          <w:b/>
          <w:b/>
          <w:szCs w:val="20"/>
        </w:rPr>
      </w:pPr>
      <w:r>
        <w:rPr>
          <w:b/>
          <w:szCs w:val="20"/>
        </w:rPr>
        <w:t>Justificativas:</w:t>
      </w:r>
    </w:p>
    <w:p>
      <w:pPr>
        <w:pStyle w:val="Normal"/>
        <w:rPr>
          <w:szCs w:val="20"/>
        </w:rPr>
      </w:pPr>
      <w:r>
        <w:rPr>
          <w:szCs w:val="20"/>
        </w:rPr>
      </w:r>
    </w:p>
    <w:p>
      <w:pPr>
        <w:pStyle w:val="Normal"/>
        <w:rPr>
          <w:b/>
          <w:b/>
          <w:szCs w:val="20"/>
          <w:u w:val="single"/>
        </w:rPr>
      </w:pPr>
      <w:r>
        <w:rPr>
          <w:b/>
          <w:szCs w:val="20"/>
          <w:u w:val="single"/>
        </w:rPr>
        <w:t>Da necessidade da contratação</w:t>
      </w:r>
    </w:p>
    <w:p>
      <w:pPr>
        <w:pStyle w:val="Normal"/>
        <w:rPr>
          <w:szCs w:val="20"/>
        </w:rPr>
      </w:pPr>
      <w:r>
        <w:rPr>
          <w:szCs w:val="20"/>
        </w:rPr>
      </w:r>
    </w:p>
    <w:p>
      <w:pPr>
        <w:pStyle w:val="Normal"/>
        <w:rPr>
          <w:szCs w:val="20"/>
        </w:rPr>
      </w:pPr>
      <w:r>
        <w:rPr>
          <w:szCs w:val="20"/>
        </w:rPr>
        <w:t>Entre os anos de 2008 e 2012, a Codevasf celebrou contratos para implantação de sistemas de esgotamento sanitário (SES) em alguns municípios de Sergipe, entre os quais destacamos o contrato n.º 0.00.08.0067, celebrado com a empresa Heca Comercio e Construção Ltda., cujo objeto era a Implantação de sistema de esgotamento sanitário no município de Malhada dos Bois, no estado de Sergipe, englobando: rede coletora, estações elevatórias de esgoto, estação de tratamento de esgoto (ETE), emissários/linhas de recalque, ligações domiciliares e montagem de equipamentos.</w:t>
      </w:r>
    </w:p>
    <w:p>
      <w:pPr>
        <w:pStyle w:val="Normal"/>
        <w:rPr>
          <w:szCs w:val="20"/>
        </w:rPr>
      </w:pPr>
      <w:r>
        <w:rPr>
          <w:szCs w:val="20"/>
        </w:rPr>
        <w:t>O citado contrato esteve vigente de 11/03/2008 à 09/05/2011, com investimento efetivo de R$ 1.396.795,48 (um milhão, trezentos e noventa e seis mil, setecentos e noventa e cinco reais e quarenta e oito centavos), sendo encerrado sem a conclusão do objeto. O que resultou na exclusão do empreendimento da carteira orçamentária do Programa de Aceleração do Crescimento (PAC).</w:t>
      </w:r>
    </w:p>
    <w:p>
      <w:pPr>
        <w:pStyle w:val="Normal"/>
        <w:rPr>
          <w:szCs w:val="20"/>
        </w:rPr>
      </w:pPr>
      <w:r>
        <w:rPr>
          <w:szCs w:val="20"/>
        </w:rPr>
        <w:t>Após articulação realizada pela Codevasf, foi confirmado o retorno do empreendimento de implantação do SES de Malhada dos Bois à carteira orçamentária do PAC, através do Aviso Ministerial n.º117.</w:t>
      </w:r>
    </w:p>
    <w:p>
      <w:pPr>
        <w:pStyle w:val="Normal"/>
        <w:rPr>
          <w:szCs w:val="20"/>
        </w:rPr>
      </w:pPr>
      <w:r>
        <w:rPr>
          <w:szCs w:val="20"/>
        </w:rPr>
        <w:t>O empreendimento é objeto do Termo de Cooperação Técnica n.º 0.93.08.0051, de 29/07/2008, celebrado entre a Codevasf, Município de Malhada dos Bois e Companhia de Saneamento de Sergipe (DESO); e que trata do acompanhamento e fiscalização da ação, bem como de sua operacionalização após a conclusão, definindo responsabilidade dos partícipes.</w:t>
      </w:r>
    </w:p>
    <w:p>
      <w:pPr>
        <w:pStyle w:val="Normal"/>
        <w:rPr>
          <w:szCs w:val="20"/>
        </w:rPr>
      </w:pPr>
      <w:r>
        <w:rPr>
          <w:szCs w:val="20"/>
        </w:rPr>
      </w:r>
    </w:p>
    <w:p>
      <w:pPr>
        <w:pStyle w:val="Normal"/>
        <w:rPr>
          <w:szCs w:val="20"/>
        </w:rPr>
      </w:pPr>
      <w:r>
        <w:rPr>
          <w:b/>
          <w:szCs w:val="20"/>
          <w:u w:val="single"/>
        </w:rPr>
        <w:t>Regime de execução: Empreitada por Preços Unitários</w:t>
      </w:r>
      <w:r>
        <w:rPr>
          <w:szCs w:val="20"/>
        </w:rPr>
        <w:t>: preço certo de unidades determinadas. O pagamento será por medições das unidades efetivamente executadas.</w:t>
      </w:r>
    </w:p>
    <w:p>
      <w:pPr>
        <w:pStyle w:val="Normal"/>
        <w:rPr>
          <w:szCs w:val="20"/>
        </w:rPr>
      </w:pPr>
      <w:r>
        <w:rPr>
          <w:szCs w:val="20"/>
        </w:rPr>
      </w:r>
    </w:p>
    <w:p>
      <w:pPr>
        <w:pStyle w:val="Normal"/>
        <w:rPr>
          <w:szCs w:val="20"/>
        </w:rPr>
      </w:pPr>
      <w:r>
        <w:rPr>
          <w:szCs w:val="20"/>
        </w:rPr>
        <w:t>Este regime de execução é o mais apropriado para o objeto da licitação, pois será pago somente os serviços efetivamente executados, mediante medições mensais, dos preços unitários propostos pela contratada. A Codevasf elaborou orçamento através dos preços unitários que compõem o serviço total do objeto.</w:t>
      </w:r>
    </w:p>
    <w:p>
      <w:pPr>
        <w:pStyle w:val="Normal"/>
        <w:rPr>
          <w:szCs w:val="20"/>
        </w:rPr>
      </w:pPr>
      <w:r>
        <w:rPr>
          <w:szCs w:val="20"/>
        </w:rPr>
      </w:r>
    </w:p>
    <w:p>
      <w:pPr>
        <w:pStyle w:val="Normal"/>
        <w:rPr>
          <w:szCs w:val="20"/>
        </w:rPr>
      </w:pPr>
      <w:r>
        <w:rPr>
          <w:szCs w:val="20"/>
        </w:rPr>
        <w:t>Apesar do bom nível de detalhamento do projeto básico, existem serviços com certo grau de incerteza na definição dos quantitativos devido suas características executivas, tais como: escavação manual e mecânica de valas em areia e em rocha, reaterro de valas, momento de transporte de material.</w:t>
      </w:r>
    </w:p>
    <w:p>
      <w:pPr>
        <w:pStyle w:val="Normal"/>
        <w:rPr>
          <w:szCs w:val="20"/>
        </w:rPr>
      </w:pPr>
      <w:r>
        <w:rPr>
          <w:szCs w:val="20"/>
        </w:rPr>
      </w:r>
    </w:p>
    <w:p>
      <w:pPr>
        <w:pStyle w:val="Normal"/>
        <w:rPr>
          <w:szCs w:val="20"/>
        </w:rPr>
      </w:pPr>
      <w:r>
        <w:rPr>
          <w:b/>
          <w:szCs w:val="20"/>
          <w:u w:val="single"/>
        </w:rPr>
        <w:t>Permite Participação de Consórcios</w:t>
      </w:r>
      <w:r>
        <w:rPr>
          <w:szCs w:val="20"/>
        </w:rPr>
        <w:t xml:space="preserve">: Não </w:t>
      </w:r>
    </w:p>
    <w:p>
      <w:pPr>
        <w:pStyle w:val="Normal"/>
        <w:rPr>
          <w:szCs w:val="20"/>
        </w:rPr>
      </w:pPr>
      <w:r>
        <w:rPr>
          <w:szCs w:val="20"/>
        </w:rPr>
      </w:r>
    </w:p>
    <w:p>
      <w:pPr>
        <w:pStyle w:val="Normal"/>
        <w:rPr>
          <w:szCs w:val="20"/>
        </w:rPr>
      </w:pPr>
      <w:r>
        <w:rPr>
          <w:b/>
          <w:szCs w:val="20"/>
          <w:u w:val="single"/>
        </w:rPr>
        <w:t>Visita ao local de execução dos serviços:</w:t>
      </w:r>
      <w:r>
        <w:rPr>
          <w:szCs w:val="20"/>
        </w:rPr>
        <w:t xml:space="preserve"> Não obrigatória.</w:t>
      </w:r>
    </w:p>
    <w:p>
      <w:pPr>
        <w:pStyle w:val="Normal"/>
        <w:rPr>
          <w:b/>
          <w:b/>
          <w:szCs w:val="20"/>
          <w:u w:val="single"/>
        </w:rPr>
      </w:pPr>
      <w:r>
        <w:rPr>
          <w:b/>
          <w:szCs w:val="20"/>
          <w:u w:val="single"/>
        </w:rPr>
      </w:r>
    </w:p>
    <w:p>
      <w:pPr>
        <w:pStyle w:val="Normal"/>
        <w:rPr>
          <w:szCs w:val="20"/>
        </w:rPr>
      </w:pPr>
      <w:r>
        <w:rPr>
          <w:b/>
          <w:szCs w:val="20"/>
          <w:u w:val="single"/>
        </w:rPr>
        <w:t>Declaração de compatibilidade com o Plano Plurianual</w:t>
      </w:r>
    </w:p>
    <w:p>
      <w:pPr>
        <w:pStyle w:val="Normal"/>
        <w:rPr>
          <w:szCs w:val="20"/>
        </w:rPr>
      </w:pPr>
      <w:r>
        <w:rPr>
          <w:szCs w:val="20"/>
        </w:rPr>
        <w:t>Os serviços a serem contratados serão executados no prazo superior a um ano, conforme consta do Termo de Referência e a previsão de recursos orçamentários é compatível, conforme previsto no Plano Plurianual.</w:t>
      </w:r>
    </w:p>
    <w:p>
      <w:pPr>
        <w:pStyle w:val="Normal"/>
        <w:rPr>
          <w:szCs w:val="20"/>
        </w:rPr>
      </w:pPr>
      <w:r>
        <w:rPr>
          <w:szCs w:val="20"/>
        </w:rPr>
      </w:r>
    </w:p>
    <w:p>
      <w:pPr>
        <w:pStyle w:val="Normal"/>
        <w:rPr>
          <w:szCs w:val="20"/>
        </w:rPr>
      </w:pPr>
      <w:r>
        <w:rPr>
          <w:b/>
          <w:szCs w:val="20"/>
        </w:rPr>
        <w:t>Desapropriação</w:t>
      </w:r>
      <w:r>
        <w:rPr>
          <w:szCs w:val="20"/>
        </w:rPr>
        <w:t>: No projeto foram identificados e regularizados os imóveis que serão atingidos diretamente pelas obras. Todas as áreas necessárias à implantação das estações elevatórias de Esgoto (EEE-01 e EEE-02) e estação de tratamento de esgoto (ETE) foram disponibilizados pela Prefeitura Municipal.</w:t>
      </w:r>
    </w:p>
    <w:p>
      <w:pPr>
        <w:pStyle w:val="Normal"/>
        <w:rPr>
          <w:szCs w:val="20"/>
        </w:rPr>
      </w:pPr>
      <w:r>
        <w:rPr>
          <w:szCs w:val="20"/>
        </w:rPr>
      </w:r>
    </w:p>
    <w:p>
      <w:pPr>
        <w:pStyle w:val="Normal"/>
        <w:rPr>
          <w:szCs w:val="20"/>
        </w:rPr>
      </w:pPr>
      <w:r>
        <w:rPr>
          <w:szCs w:val="20"/>
        </w:rPr>
        <w:t>Desta forma, não será necessária a desapropriação de imóveis particulares, sendo desnecessária a elaboração do Projeto de Desapropriação.</w:t>
      </w:r>
    </w:p>
    <w:p>
      <w:pPr>
        <w:pStyle w:val="Normal"/>
        <w:rPr>
          <w:szCs w:val="20"/>
        </w:rPr>
      </w:pPr>
      <w:r>
        <w:rPr>
          <w:szCs w:val="20"/>
        </w:rPr>
      </w:r>
    </w:p>
    <w:p>
      <w:pPr>
        <w:pStyle w:val="Normal"/>
        <w:rPr>
          <w:szCs w:val="20"/>
        </w:rPr>
      </w:pPr>
      <w:r>
        <w:rPr>
          <w:b/>
          <w:szCs w:val="20"/>
          <w:u w:val="single"/>
        </w:rPr>
        <w:t>Critério de Julgamento</w:t>
      </w:r>
      <w:r>
        <w:rPr>
          <w:szCs w:val="20"/>
        </w:rPr>
        <w:t>: Maior Desconto, de acordo com o Art.54 da Lei n.º 13.303/2016.</w:t>
      </w:r>
    </w:p>
    <w:p>
      <w:pPr>
        <w:pStyle w:val="Normal"/>
        <w:rPr>
          <w:szCs w:val="20"/>
        </w:rPr>
      </w:pPr>
      <w:r>
        <w:rPr>
          <w:szCs w:val="20"/>
        </w:rPr>
      </w:r>
    </w:p>
    <w:p>
      <w:pPr>
        <w:pStyle w:val="Normal"/>
        <w:rPr>
          <w:b/>
          <w:b/>
          <w:szCs w:val="20"/>
        </w:rPr>
      </w:pPr>
      <w:r>
        <w:rPr>
          <w:b/>
          <w:szCs w:val="20"/>
          <w:u w:val="single"/>
        </w:rPr>
        <w:t>Divulgação do valor orçado:</w:t>
      </w:r>
      <w:r>
        <w:rPr>
          <w:szCs w:val="20"/>
        </w:rPr>
        <w:t xml:space="preserve"> Tendo em vista que o critério de julgamento é de maior desconto</w:t>
      </w:r>
      <w:r>
        <w:rPr>
          <w:b/>
          <w:szCs w:val="20"/>
        </w:rPr>
        <w:t>.</w:t>
      </w:r>
    </w:p>
    <w:p>
      <w:pPr>
        <w:pStyle w:val="Normal"/>
        <w:rPr>
          <w:szCs w:val="20"/>
        </w:rPr>
      </w:pPr>
      <w:r>
        <w:rPr>
          <w:szCs w:val="20"/>
        </w:rPr>
      </w:r>
    </w:p>
    <w:p>
      <w:pPr>
        <w:pStyle w:val="Normal"/>
        <w:rPr>
          <w:szCs w:val="20"/>
        </w:rPr>
      </w:pPr>
      <w:r>
        <w:rPr>
          <w:b/>
          <w:szCs w:val="20"/>
          <w:u w:val="single"/>
        </w:rPr>
        <w:t>Aprovação do Projeto Básico</w:t>
      </w:r>
      <w:r>
        <w:rPr>
          <w:szCs w:val="20"/>
        </w:rPr>
        <w:t>: O projeto básico foi aprovado por ato da autoridade competente, conforme consta do processo nº 59540.000724/2018-26</w:t>
      </w:r>
    </w:p>
    <w:p>
      <w:pPr>
        <w:pStyle w:val="Normal"/>
        <w:rPr>
          <w:szCs w:val="20"/>
        </w:rPr>
      </w:pPr>
      <w:r>
        <w:rPr>
          <w:szCs w:val="20"/>
        </w:rPr>
      </w:r>
    </w:p>
    <w:p>
      <w:pPr>
        <w:pStyle w:val="Normal"/>
        <w:rPr>
          <w:szCs w:val="20"/>
        </w:rPr>
      </w:pPr>
      <w:r>
        <w:rPr>
          <w:b/>
          <w:szCs w:val="20"/>
          <w:u w:val="single"/>
        </w:rPr>
        <w:t>Qualificação Técnica:</w:t>
      </w:r>
      <w:r>
        <w:rPr>
          <w:szCs w:val="20"/>
        </w:rPr>
        <w:t xml:space="preserve"> os itens que compõe a Qualificação Técnica (Habilitação) foram selecionados dentre todos os itens que compõe a planilha de execução das obras, sendo eles os mais relevantes em termos de quantitativos e qualitativos dentro da palinha orçamentária. A escolha dos itens exigidos às licitantes justificam-se, pois irão demostrar o quanto a empresa terá capacidade técnica para executar de forma total os serviços objeto deste TR.</w:t>
      </w:r>
    </w:p>
    <w:p>
      <w:pPr>
        <w:pStyle w:val="Normal"/>
        <w:rPr>
          <w:szCs w:val="20"/>
        </w:rPr>
      </w:pPr>
      <w:r>
        <w:rPr>
          <w:szCs w:val="20"/>
        </w:rPr>
      </w:r>
    </w:p>
    <w:p>
      <w:pPr>
        <w:pStyle w:val="Normal"/>
        <w:rPr>
          <w:szCs w:val="20"/>
        </w:rPr>
      </w:pPr>
      <w:r>
        <w:rPr>
          <w:b/>
          <w:szCs w:val="20"/>
          <w:u w:val="single"/>
        </w:rPr>
        <w:t>Licença Ambiental:</w:t>
      </w:r>
      <w:r>
        <w:rPr>
          <w:szCs w:val="20"/>
        </w:rPr>
        <w:t xml:space="preserve"> o empreendimento se encontra coberto pela Licença Ambiental de Instalação LI nº 203/2016 válida por 4 anos, vencendo-se em 06/10/2020.</w:t>
      </w:r>
    </w:p>
    <w:p>
      <w:pPr>
        <w:pStyle w:val="Normal"/>
        <w:rPr>
          <w:b/>
          <w:b/>
          <w:szCs w:val="20"/>
        </w:rPr>
      </w:pPr>
      <w:r>
        <w:rPr>
          <w:b/>
          <w:szCs w:val="20"/>
        </w:rPr>
      </w:r>
    </w:p>
    <w:p>
      <w:pPr>
        <w:pStyle w:val="Normal"/>
        <w:spacing w:lineRule="auto" w:line="276" w:before="0" w:after="200"/>
        <w:jc w:val="left"/>
        <w:rPr>
          <w:bCs/>
          <w:szCs w:val="20"/>
        </w:rPr>
      </w:pPr>
      <w:r>
        <w:rPr>
          <w:bCs/>
          <w:szCs w:val="20"/>
        </w:rPr>
      </w:r>
      <w:r>
        <w:br w:type="page"/>
      </w:r>
    </w:p>
    <w:p>
      <w:pPr>
        <w:pStyle w:val="Caption"/>
        <w:rPr/>
      </w:pPr>
      <w:bookmarkStart w:id="60" w:name="_Ref450206147"/>
      <w:bookmarkStart w:id="61" w:name="_Ref450205804"/>
      <w:r>
        <w:rPr>
          <w:rFonts w:ascii="Arial" w:hAnsi="Arial"/>
          <w:szCs w:val="20"/>
        </w:rPr>
        <w:t xml:space="preserve">Anexo </w:t>
      </w:r>
      <w:r>
        <w:rPr>
          <w:rFonts w:ascii="Arial" w:hAnsi="Arial"/>
          <w:szCs w:val="20"/>
        </w:rPr>
        <w:fldChar w:fldCharType="begin"/>
      </w:r>
      <w:r>
        <w:instrText> SEQ Anexo \* ROMAN </w:instrText>
      </w:r>
      <w:r>
        <w:fldChar w:fldCharType="separate"/>
      </w:r>
      <w:r>
        <w:t>II</w:t>
      </w:r>
      <w:r>
        <w:fldChar w:fldCharType="end"/>
      </w:r>
      <w:bookmarkEnd w:id="61"/>
      <w:bookmarkEnd w:id="60"/>
      <w:r>
        <w:rPr>
          <w:rFonts w:ascii="Arial" w:hAnsi="Arial"/>
          <w:szCs w:val="20"/>
        </w:rPr>
        <w:t>: Modelo de Declaração de Conhecimento do Local de Execução dos Serviços</w:t>
      </w:r>
    </w:p>
    <w:p>
      <w:pPr>
        <w:pStyle w:val="Normal"/>
        <w:rPr>
          <w:szCs w:val="20"/>
        </w:rPr>
      </w:pPr>
      <w:r>
        <w:rPr>
          <w:szCs w:val="20"/>
        </w:rPr>
      </w:r>
    </w:p>
    <w:p>
      <w:pPr>
        <w:pStyle w:val="Normal"/>
        <w:rPr>
          <w:szCs w:val="20"/>
        </w:rPr>
      </w:pPr>
      <w:r>
        <w:rPr>
          <w:szCs w:val="20"/>
        </w:rPr>
      </w:r>
    </w:p>
    <w:p>
      <w:pPr>
        <w:pStyle w:val="Normal"/>
        <w:jc w:val="center"/>
        <w:rPr>
          <w:b/>
          <w:b/>
          <w:szCs w:val="20"/>
        </w:rPr>
      </w:pPr>
      <w:r>
        <w:rPr>
          <w:b/>
          <w:szCs w:val="20"/>
        </w:rPr>
        <w:t>MODELO DE DECLARAÇÃO DE CONHECIMENTO DO LOCAL DE EXECUÇÃO DOS SERVIÇOS</w:t>
      </w:r>
    </w:p>
    <w:p>
      <w:pPr>
        <w:pStyle w:val="Normal"/>
        <w:rPr>
          <w:szCs w:val="20"/>
        </w:rPr>
      </w:pPr>
      <w:r>
        <w:rPr>
          <w:szCs w:val="20"/>
        </w:rPr>
      </w:r>
    </w:p>
    <w:p>
      <w:pPr>
        <w:pStyle w:val="Normal"/>
        <w:rPr>
          <w:szCs w:val="20"/>
        </w:rPr>
      </w:pPr>
      <w:r>
        <w:rPr>
          <w:szCs w:val="20"/>
        </w:rPr>
      </w:r>
    </w:p>
    <w:p>
      <w:pPr>
        <w:pStyle w:val="Normal"/>
        <w:rPr>
          <w:szCs w:val="20"/>
        </w:rPr>
      </w:pPr>
      <w:r>
        <w:rPr>
          <w:szCs w:val="20"/>
        </w:rPr>
        <w:t xml:space="preserve">O Licitante </w:t>
      </w:r>
      <w:r>
        <w:rPr>
          <w:szCs w:val="20"/>
          <w:u w:val="single"/>
        </w:rPr>
        <w:t>(NOME DA EMPRESA)</w:t>
      </w:r>
      <w:r>
        <w:rPr>
          <w:szCs w:val="20"/>
        </w:rPr>
        <w:t xml:space="preserve">, inscrito no CNPJ/MF nº </w:t>
      </w:r>
      <w:r>
        <w:rPr>
          <w:szCs w:val="20"/>
          <w:u w:val="single"/>
        </w:rPr>
        <w:t>(CNPJ DA EMPRESA)</w:t>
      </w:r>
      <w:r>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pPr>
        <w:pStyle w:val="Normal"/>
        <w:rPr>
          <w:szCs w:val="20"/>
        </w:rPr>
      </w:pPr>
      <w:r>
        <w:rPr>
          <w:szCs w:val="20"/>
        </w:rPr>
      </w:r>
    </w:p>
    <w:p>
      <w:pPr>
        <w:pStyle w:val="Normal"/>
        <w:rPr>
          <w:szCs w:val="20"/>
        </w:rPr>
      </w:pPr>
      <w:r>
        <w:rPr>
          <w:szCs w:val="20"/>
        </w:rPr>
      </w:r>
    </w:p>
    <w:p>
      <w:pPr>
        <w:pStyle w:val="Normal"/>
        <w:rPr>
          <w:rFonts w:eastAsia="Arial Unicode MS"/>
          <w:szCs w:val="20"/>
        </w:rPr>
      </w:pPr>
      <w:r>
        <w:rPr>
          <w:szCs w:val="20"/>
        </w:rPr>
        <w:t>Cidade, ___/___/201___</w:t>
      </w:r>
    </w:p>
    <w:p>
      <w:pPr>
        <w:pStyle w:val="Normal"/>
        <w:rPr>
          <w:szCs w:val="20"/>
        </w:rPr>
      </w:pPr>
      <w:r>
        <w:rPr>
          <w:szCs w:val="20"/>
        </w:rPr>
      </w:r>
    </w:p>
    <w:p>
      <w:pPr>
        <w:pStyle w:val="Normal"/>
        <w:rPr>
          <w:szCs w:val="20"/>
        </w:rPr>
      </w:pPr>
      <w:r>
        <w:rPr>
          <w:szCs w:val="20"/>
        </w:rPr>
        <w:t>____________________________________</w:t>
      </w:r>
    </w:p>
    <w:p>
      <w:pPr>
        <w:pStyle w:val="Normal"/>
        <w:rPr>
          <w:szCs w:val="20"/>
        </w:rPr>
      </w:pPr>
      <w:r>
        <w:rPr>
          <w:szCs w:val="20"/>
        </w:rPr>
        <w:t>Assinatura do representante legal</w:t>
      </w:r>
    </w:p>
    <w:p>
      <w:pPr>
        <w:pStyle w:val="Normal"/>
        <w:rPr>
          <w:szCs w:val="20"/>
        </w:rPr>
      </w:pPr>
      <w:r>
        <w:rPr>
          <w:szCs w:val="20"/>
        </w:rPr>
      </w:r>
    </w:p>
    <w:p>
      <w:pPr>
        <w:pStyle w:val="Normal"/>
        <w:rPr>
          <w:rFonts w:eastAsia="Arial Unicode MS"/>
          <w:szCs w:val="20"/>
        </w:rPr>
      </w:pPr>
      <w:r>
        <w:rPr>
          <w:szCs w:val="20"/>
        </w:rPr>
        <w:t>Nome: _____________________________</w:t>
      </w:r>
    </w:p>
    <w:p>
      <w:pPr>
        <w:pStyle w:val="Normal"/>
        <w:rPr>
          <w:szCs w:val="20"/>
        </w:rPr>
      </w:pPr>
      <w:r>
        <w:rPr>
          <w:szCs w:val="20"/>
        </w:rPr>
      </w:r>
    </w:p>
    <w:p>
      <w:pPr>
        <w:pStyle w:val="Normal"/>
        <w:rPr>
          <w:szCs w:val="20"/>
        </w:rPr>
      </w:pPr>
      <w:r>
        <w:rPr>
          <w:szCs w:val="20"/>
        </w:rPr>
        <w:t>Função: ____________________________</w:t>
      </w:r>
    </w:p>
    <w:p>
      <w:pPr>
        <w:pStyle w:val="Normal"/>
        <w:rPr>
          <w:szCs w:val="20"/>
        </w:rPr>
      </w:pPr>
      <w:r>
        <w:rPr>
          <w:szCs w:val="20"/>
        </w:rPr>
      </w:r>
      <w:r>
        <w:br w:type="page"/>
      </w:r>
    </w:p>
    <w:p>
      <w:pPr>
        <w:pStyle w:val="Caption"/>
        <w:rPr/>
      </w:pPr>
      <w:bookmarkStart w:id="62" w:name="_Ref450206149"/>
      <w:bookmarkStart w:id="63" w:name="_Ref450206017"/>
      <w:r>
        <w:rPr>
          <w:rFonts w:ascii="Arial" w:hAnsi="Arial"/>
          <w:szCs w:val="20"/>
        </w:rPr>
        <w:t xml:space="preserve">Anexo </w:t>
      </w:r>
      <w:r>
        <w:rPr>
          <w:rFonts w:ascii="Arial" w:hAnsi="Arial"/>
          <w:szCs w:val="20"/>
        </w:rPr>
        <w:fldChar w:fldCharType="begin"/>
      </w:r>
      <w:r>
        <w:instrText> SEQ Anexo \* ROMAN </w:instrText>
      </w:r>
      <w:r>
        <w:fldChar w:fldCharType="separate"/>
      </w:r>
      <w:r>
        <w:t>III</w:t>
      </w:r>
      <w:r>
        <w:fldChar w:fldCharType="end"/>
      </w:r>
      <w:bookmarkEnd w:id="63"/>
      <w:bookmarkEnd w:id="62"/>
      <w:r>
        <w:rPr>
          <w:rFonts w:ascii="Arial" w:hAnsi="Arial"/>
          <w:szCs w:val="20"/>
        </w:rPr>
        <w:t>: Detalhamento dos Encargos Sociais e do BDI</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jc w:val="center"/>
        <w:rPr>
          <w:b/>
          <w:b/>
          <w:szCs w:val="20"/>
        </w:rPr>
      </w:pPr>
      <w:r>
        <w:rPr>
          <w:b/>
          <w:szCs w:val="20"/>
          <w:lang w:eastAsia="pt-BR"/>
        </w:rPr>
        <w:t xml:space="preserve">PO-XIV - </w:t>
      </w:r>
      <w:r>
        <w:rPr>
          <w:b/>
          <w:szCs w:val="20"/>
        </w:rPr>
        <w:t>Detalhamento</w:t>
      </w:r>
      <w:r>
        <w:rPr>
          <w:b/>
          <w:szCs w:val="20"/>
          <w:lang w:eastAsia="pt-BR"/>
        </w:rPr>
        <w:t xml:space="preserve"> dos Encargos Sociais – Horista e Mensalista (preenchido)</w:t>
      </w:r>
    </w:p>
    <w:p>
      <w:pPr>
        <w:pStyle w:val="Normal"/>
        <w:jc w:val="center"/>
        <w:rPr>
          <w:b/>
          <w:b/>
          <w:szCs w:val="20"/>
          <w:lang w:eastAsia="pt-BR"/>
        </w:rPr>
      </w:pPr>
      <w:r>
        <w:rPr>
          <w:b/>
          <w:szCs w:val="20"/>
          <w:lang w:eastAsia="pt-BR"/>
        </w:rPr>
        <w:t xml:space="preserve">PO-XIV - </w:t>
      </w:r>
      <w:r>
        <w:rPr>
          <w:b/>
          <w:szCs w:val="20"/>
        </w:rPr>
        <w:t>Detalhamento</w:t>
      </w:r>
      <w:r>
        <w:rPr>
          <w:b/>
          <w:szCs w:val="20"/>
          <w:lang w:eastAsia="pt-BR"/>
        </w:rPr>
        <w:t xml:space="preserve"> dos Encargos Sociais – Horista e Mensalista (em branco)</w:t>
      </w:r>
    </w:p>
    <w:p>
      <w:pPr>
        <w:pStyle w:val="Normal"/>
        <w:jc w:val="center"/>
        <w:rPr>
          <w:b/>
          <w:b/>
          <w:szCs w:val="20"/>
          <w:lang w:eastAsia="pt-BR"/>
        </w:rPr>
      </w:pPr>
      <w:r>
        <w:rPr>
          <w:b/>
          <w:szCs w:val="20"/>
          <w:lang w:eastAsia="pt-BR"/>
        </w:rPr>
        <w:t xml:space="preserve">PO-XVa - </w:t>
      </w:r>
      <w:r>
        <w:rPr>
          <w:b/>
          <w:szCs w:val="20"/>
        </w:rPr>
        <w:t>Detalhamento</w:t>
      </w:r>
      <w:r>
        <w:rPr>
          <w:b/>
          <w:szCs w:val="20"/>
          <w:lang w:eastAsia="pt-BR"/>
        </w:rPr>
        <w:t xml:space="preserve"> do BDI - Serviços</w:t>
      </w:r>
    </w:p>
    <w:p>
      <w:pPr>
        <w:pStyle w:val="Normal"/>
        <w:jc w:val="center"/>
        <w:rPr>
          <w:b/>
          <w:b/>
          <w:szCs w:val="20"/>
          <w:lang w:eastAsia="pt-BR"/>
        </w:rPr>
      </w:pPr>
      <w:r>
        <w:rPr>
          <w:b/>
          <w:szCs w:val="20"/>
          <w:lang w:eastAsia="pt-BR"/>
        </w:rPr>
        <w:t xml:space="preserve">PO-XVb - </w:t>
      </w:r>
      <w:r>
        <w:rPr>
          <w:b/>
          <w:szCs w:val="20"/>
        </w:rPr>
        <w:t>Detalhamento</w:t>
      </w:r>
      <w:r>
        <w:rPr>
          <w:b/>
          <w:szCs w:val="20"/>
          <w:lang w:eastAsia="pt-BR"/>
        </w:rPr>
        <w:t xml:space="preserve"> do BDI – Fornecimento</w:t>
      </w:r>
    </w:p>
    <w:p>
      <w:pPr>
        <w:pStyle w:val="Normal"/>
        <w:rPr>
          <w:szCs w:val="20"/>
        </w:rPr>
      </w:pPr>
      <w:r>
        <w:rPr>
          <w:szCs w:val="20"/>
        </w:rPr>
      </w:r>
      <w:r>
        <w:br w:type="page"/>
      </w:r>
    </w:p>
    <w:p>
      <w:pPr>
        <w:pStyle w:val="Normal"/>
        <w:jc w:val="center"/>
        <w:rPr>
          <w:b/>
          <w:b/>
          <w:szCs w:val="20"/>
        </w:rPr>
      </w:pPr>
      <w:r>
        <w:rPr>
          <w:b/>
          <w:szCs w:val="20"/>
          <w:lang w:eastAsia="pt-BR"/>
        </w:rPr>
        <w:t xml:space="preserve">PO-XIV – </w:t>
      </w:r>
      <w:r>
        <w:rPr>
          <w:b/>
          <w:szCs w:val="20"/>
        </w:rPr>
        <w:t>Detalhamento</w:t>
      </w:r>
      <w:r>
        <w:rPr>
          <w:b/>
          <w:szCs w:val="20"/>
          <w:lang w:eastAsia="pt-BR"/>
        </w:rPr>
        <w:t xml:space="preserve"> dos Encargos Sociais – Horista e Mensalista – Sem Desoneração (preenchido)</w:t>
      </w:r>
    </w:p>
    <w:p>
      <w:pPr>
        <w:pStyle w:val="Normal"/>
        <w:rPr>
          <w:szCs w:val="20"/>
        </w:rPr>
      </w:pPr>
      <w:r>
        <w:rPr>
          <w:szCs w:val="20"/>
        </w:rPr>
      </w:r>
    </w:p>
    <w:tbl>
      <w:tblPr>
        <w:tblW w:w="918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643"/>
        <w:gridCol w:w="5349"/>
        <w:gridCol w:w="1"/>
        <w:gridCol w:w="1415"/>
        <w:gridCol w:w="1"/>
        <w:gridCol w:w="1775"/>
      </w:tblGrid>
      <w:tr>
        <w:trPr>
          <w:trHeight w:val="113" w:hRule="atLeast"/>
        </w:trPr>
        <w:tc>
          <w:tcPr>
            <w:tcW w:w="5993" w:type="dxa"/>
            <w:gridSpan w:val="3"/>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DISCRIMINAÇÃO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HORISTA</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MENSALISTA</w:t>
            </w:r>
          </w:p>
        </w:tc>
      </w:tr>
      <w:tr>
        <w:trPr>
          <w:trHeight w:val="113" w:hRule="atLeast"/>
        </w:trPr>
        <w:tc>
          <w:tcPr>
            <w:tcW w:w="5993" w:type="dxa"/>
            <w:gridSpan w:val="3"/>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A</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ENCARGOS SOCIAIS BÁSICOS</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A1</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INSS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20,00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20,00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A2</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SESI</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1,50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1,50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A3</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SENAI</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1,00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1,00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A4</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INCRA</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0,20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0,20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A5</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SEBRAE</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0,60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0,60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A6</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Salário Educação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2,50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2,50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A7</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Seguro Contra Acidente de Trabalho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3,00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3,00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A8</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FGTS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8,00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8,00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A9</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SECONCI</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0,00</w:t>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“A”:</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36,80</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36,80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B</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ENCARGOS SOCIAIS QUE RECEBEM INCIDÊNCIA DE “A”</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B1</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Repouso Semanal Remunerado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17,92</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Não incide</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B2</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Feriados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3,95</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Não incide</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B3</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Auxílio-Enfermidade</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0,91</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0,70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B4</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13º Salário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10,83</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8,33</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B5</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Licença Paternidade</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0,06</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0,05</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B6</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Faltas Justificadas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0,72</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0,56</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B7</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Dias de Chuva</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1,73</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Não incide</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B8</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Auxílio Acidente de Trabalho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0,11</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0,08</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B9</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Férias Gozadas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8,60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6,62</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B10</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Salário Maternidade</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0,03</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0,02</w:t>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“B”:</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44,86</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16,36</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C</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ENCARGOS SOCIAIS QUE NÃO RECEBEM INCIDÊNCIA DE “A”</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C1</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Aviso Prévio Indenizado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5,35</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4,12</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C2</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Aviso Prévio Trabalhado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0,13</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0,10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C3</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Férias Indenizadas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4,80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3,70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C4</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Depósito Rescisão Sem Justa Causa</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4,90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3,77</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C5</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Indenização Adicional</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0,45</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0,35</w:t>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“C”:</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15,63</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12,04</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D</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REINCIDÊNCIAS DE UM GRUPO SOBRE O OUTRO</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D1</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Reincidência de “A” sobre “B”</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16,51</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6,02</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D2</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Reincidência de Grupo A sobre Aviso Prévio Trabalhado e Reincidência do FGTS sobre Aviso Prévio Indenizado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0,48</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0,37</w:t>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“D”:</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16,99</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6,39</w:t>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TOTAIS DE ENCARGOS SOCIAIS: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114,28</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71,59</w:t>
            </w:r>
          </w:p>
        </w:tc>
      </w:tr>
    </w:tbl>
    <w:p>
      <w:pPr>
        <w:pStyle w:val="Normal"/>
        <w:jc w:val="right"/>
        <w:rPr>
          <w:szCs w:val="20"/>
        </w:rPr>
      </w:pPr>
      <w:r>
        <w:rPr>
          <w:szCs w:val="20"/>
        </w:rPr>
      </w:r>
      <w:r>
        <w:br w:type="page"/>
      </w:r>
    </w:p>
    <w:p>
      <w:pPr>
        <w:pStyle w:val="Normal"/>
        <w:jc w:val="center"/>
        <w:rPr>
          <w:b/>
          <w:b/>
          <w:szCs w:val="20"/>
          <w:lang w:eastAsia="pt-BR"/>
        </w:rPr>
      </w:pPr>
      <w:r>
        <w:rPr>
          <w:b/>
          <w:szCs w:val="20"/>
          <w:lang w:eastAsia="pt-BR"/>
        </w:rPr>
        <w:t xml:space="preserve">PO-XIV - </w:t>
      </w:r>
      <w:r>
        <w:rPr>
          <w:b/>
          <w:szCs w:val="20"/>
        </w:rPr>
        <w:t>Detalhamento</w:t>
      </w:r>
      <w:r>
        <w:rPr>
          <w:b/>
          <w:szCs w:val="20"/>
          <w:lang w:eastAsia="pt-BR"/>
        </w:rPr>
        <w:t xml:space="preserve"> dos Encargos Sociais – Horista e Mensalista (em branco)</w:t>
      </w:r>
    </w:p>
    <w:p>
      <w:pPr>
        <w:pStyle w:val="Normal"/>
        <w:rPr>
          <w:szCs w:val="20"/>
          <w:lang w:eastAsia="pt-BR"/>
        </w:rPr>
      </w:pPr>
      <w:r>
        <w:rPr>
          <w:szCs w:val="20"/>
          <w:lang w:eastAsia="pt-BR"/>
        </w:rPr>
      </w:r>
    </w:p>
    <w:tbl>
      <w:tblPr>
        <w:tblW w:w="9185" w:type="dxa"/>
        <w:jc w:val="center"/>
        <w:tblInd w:w="0" w:type="dxa"/>
        <w:tblBorders>
          <w:top w:val="single" w:sz="4" w:space="0" w:color="00000A"/>
          <w:left w:val="single" w:sz="4" w:space="0" w:color="00000A"/>
          <w:right w:val="single" w:sz="4" w:space="0" w:color="00000A"/>
          <w:insideV w:val="single" w:sz="4" w:space="0" w:color="00000A"/>
        </w:tblBorders>
        <w:tblCellMar>
          <w:top w:w="0" w:type="dxa"/>
          <w:left w:w="65" w:type="dxa"/>
          <w:bottom w:w="0" w:type="dxa"/>
          <w:right w:w="70" w:type="dxa"/>
        </w:tblCellMar>
        <w:tblLook w:firstRow="1" w:noVBand="1" w:lastRow="0" w:firstColumn="1" w:lastColumn="0" w:noHBand="0" w:val="04a0"/>
      </w:tblPr>
      <w:tblGrid>
        <w:gridCol w:w="6217"/>
        <w:gridCol w:w="1604"/>
        <w:gridCol w:w="1364"/>
      </w:tblGrid>
      <w:tr>
        <w:trPr>
          <w:trHeight w:val="315" w:hRule="atLeast"/>
        </w:trPr>
        <w:tc>
          <w:tcPr>
            <w:tcW w:w="9185" w:type="dxa"/>
            <w:gridSpan w:val="3"/>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NOME DA CONCORRENTE:</w:t>
            </w:r>
          </w:p>
          <w:p>
            <w:pPr>
              <w:pStyle w:val="Normal"/>
              <w:rPr>
                <w:szCs w:val="20"/>
                <w:lang w:eastAsia="pt-BR"/>
              </w:rPr>
            </w:pPr>
            <w:r>
              <w:rPr>
                <w:szCs w:val="20"/>
                <w:lang w:eastAsia="pt-BR"/>
              </w:rPr>
            </w:r>
          </w:p>
        </w:tc>
      </w:tr>
      <w:tr>
        <w:trPr>
          <w:trHeight w:val="300" w:hRule="atLeast"/>
        </w:trPr>
        <w:tc>
          <w:tcPr>
            <w:tcW w:w="6217" w:type="dxa"/>
            <w:vMerge w:val="restart"/>
            <w:tcBorders>
              <w:top w:val="single" w:sz="4" w:space="0" w:color="00000A"/>
              <w:left w:val="single" w:sz="4" w:space="0" w:color="00000A"/>
              <w:right w:val="single" w:sz="4" w:space="0" w:color="00000A"/>
              <w:insideV w:val="single" w:sz="4" w:space="0" w:color="00000A"/>
            </w:tcBorders>
            <w:shd w:color="000000" w:fill="FFFFFF" w:val="clear"/>
            <w:tcMar>
              <w:left w:w="65" w:type="dxa"/>
            </w:tcMar>
          </w:tcPr>
          <w:p>
            <w:pPr>
              <w:pStyle w:val="Normal"/>
              <w:rPr>
                <w:szCs w:val="20"/>
                <w:lang w:eastAsia="pt-BR"/>
              </w:rPr>
            </w:pPr>
            <w:r>
              <w:rPr>
                <w:szCs w:val="20"/>
                <w:lang w:eastAsia="pt-BR"/>
              </w:rPr>
              <w:t>OBJETO:</w:t>
            </w:r>
          </w:p>
        </w:tc>
        <w:tc>
          <w:tcPr>
            <w:tcW w:w="1604" w:type="dxa"/>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EDITAL</w:t>
            </w:r>
          </w:p>
        </w:tc>
        <w:tc>
          <w:tcPr>
            <w:tcW w:w="1364" w:type="dxa"/>
            <w:tcBorders>
              <w:top w:val="single" w:sz="4" w:space="0" w:color="00000A"/>
              <w:right w:val="single" w:sz="4" w:space="0" w:color="00000A"/>
              <w:insideV w:val="single" w:sz="4" w:space="0" w:color="00000A"/>
            </w:tcBorders>
            <w:shd w:color="000000" w:fill="FFFFFF" w:val="clear"/>
            <w:vAlign w:val="center"/>
          </w:tcPr>
          <w:p>
            <w:pPr>
              <w:pStyle w:val="Normal"/>
              <w:rPr>
                <w:szCs w:val="20"/>
                <w:lang w:eastAsia="pt-BR"/>
              </w:rPr>
            </w:pPr>
            <w:r>
              <w:rPr>
                <w:szCs w:val="20"/>
                <w:lang w:eastAsia="pt-BR"/>
              </w:rPr>
              <w:t>FOLHA</w:t>
            </w:r>
          </w:p>
        </w:tc>
      </w:tr>
      <w:tr>
        <w:trPr>
          <w:trHeight w:val="315" w:hRule="atLeast"/>
        </w:trPr>
        <w:tc>
          <w:tcPr>
            <w:tcW w:w="6217" w:type="dxa"/>
            <w:vMerge w:val="continue"/>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r>
          </w:p>
        </w:tc>
        <w:tc>
          <w:tcPr>
            <w:tcW w:w="1604"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______/2016</w:t>
            </w:r>
          </w:p>
        </w:tc>
        <w:tc>
          <w:tcPr>
            <w:tcW w:w="1364"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rPr>
                <w:szCs w:val="20"/>
                <w:lang w:eastAsia="pt-BR"/>
              </w:rPr>
            </w:pPr>
            <w:r>
              <w:rPr>
                <w:szCs w:val="20"/>
                <w:lang w:eastAsia="pt-BR"/>
              </w:rPr>
              <w:t>____/____</w:t>
            </w:r>
          </w:p>
        </w:tc>
      </w:tr>
    </w:tbl>
    <w:p>
      <w:pPr>
        <w:pStyle w:val="Normal"/>
        <w:rPr>
          <w:szCs w:val="20"/>
        </w:rPr>
      </w:pPr>
      <w:r>
        <w:rPr>
          <w:szCs w:val="20"/>
        </w:rPr>
      </w:r>
    </w:p>
    <w:tbl>
      <w:tblPr>
        <w:tblW w:w="918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643"/>
        <w:gridCol w:w="5349"/>
        <w:gridCol w:w="1"/>
        <w:gridCol w:w="1415"/>
        <w:gridCol w:w="1"/>
        <w:gridCol w:w="1775"/>
      </w:tblGrid>
      <w:tr>
        <w:trPr>
          <w:trHeight w:val="113" w:hRule="atLeast"/>
        </w:trPr>
        <w:tc>
          <w:tcPr>
            <w:tcW w:w="5993" w:type="dxa"/>
            <w:gridSpan w:val="3"/>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DISCRIMINAÇÃO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HORISTA</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MENSALISTA</w:t>
            </w:r>
          </w:p>
        </w:tc>
      </w:tr>
      <w:tr>
        <w:trPr>
          <w:trHeight w:val="113" w:hRule="atLeast"/>
        </w:trPr>
        <w:tc>
          <w:tcPr>
            <w:tcW w:w="5993" w:type="dxa"/>
            <w:gridSpan w:val="3"/>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A</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ENCARGOS SOCIAIS BÁSICOS</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“A”:</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B</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ENCARGOS SOCIAIS QUE RECEBEM INCIDÊNCIA DE “A”</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“B”:</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C</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ENCARGOS SOCIAIS QUE NÃO RECEBEM INCIDÊNCIA DE “A”</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“C”:</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D</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REINCIDÊNCIAS DE UM GRUPO SOBRE O OUTRO</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“D”:</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TOTAIS DE ENCARGOS SOCIAIS: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r>
    </w:tbl>
    <w:p>
      <w:pPr>
        <w:pStyle w:val="Normal"/>
        <w:rPr>
          <w:szCs w:val="20"/>
        </w:rPr>
      </w:pPr>
      <w:r>
        <w:rPr>
          <w:szCs w:val="20"/>
        </w:rPr>
      </w:r>
      <w:r>
        <w:br w:type="page"/>
      </w:r>
    </w:p>
    <w:p>
      <w:pPr>
        <w:pStyle w:val="Normal"/>
        <w:jc w:val="center"/>
        <w:rPr>
          <w:b/>
          <w:b/>
          <w:szCs w:val="20"/>
          <w:lang w:eastAsia="pt-BR"/>
        </w:rPr>
      </w:pPr>
      <w:r>
        <w:rPr>
          <w:b/>
          <w:szCs w:val="20"/>
          <w:lang w:eastAsia="pt-BR"/>
        </w:rPr>
        <w:t xml:space="preserve">PO-XVa – </w:t>
      </w:r>
      <w:r>
        <w:rPr>
          <w:b/>
          <w:szCs w:val="20"/>
        </w:rPr>
        <w:t>Detalhamento</w:t>
      </w:r>
      <w:r>
        <w:rPr>
          <w:b/>
          <w:szCs w:val="20"/>
          <w:lang w:eastAsia="pt-BR"/>
        </w:rPr>
        <w:t xml:space="preserve"> do BDI – Serviços – Sem Desoneração</w:t>
      </w:r>
    </w:p>
    <w:p>
      <w:pPr>
        <w:pStyle w:val="Normal"/>
        <w:rPr>
          <w:szCs w:val="20"/>
          <w:lang w:eastAsia="pt-BR"/>
        </w:rPr>
      </w:pPr>
      <w:r>
        <w:rPr>
          <w:szCs w:val="20"/>
          <w:lang w:eastAsia="pt-BR"/>
        </w:rPr>
      </w:r>
    </w:p>
    <w:tbl>
      <w:tblPr>
        <w:tblW w:w="8526" w:type="dxa"/>
        <w:jc w:val="center"/>
        <w:tblInd w:w="0" w:type="dxa"/>
        <w:tblBorders>
          <w:top w:val="single" w:sz="4" w:space="0" w:color="00000A"/>
          <w:left w:val="single" w:sz="4" w:space="0" w:color="00000A"/>
          <w:right w:val="single" w:sz="4" w:space="0" w:color="00000A"/>
          <w:insideV w:val="single" w:sz="4" w:space="0" w:color="00000A"/>
        </w:tblBorders>
        <w:tblCellMar>
          <w:top w:w="0" w:type="dxa"/>
          <w:left w:w="65" w:type="dxa"/>
          <w:bottom w:w="0" w:type="dxa"/>
          <w:right w:w="70" w:type="dxa"/>
        </w:tblCellMar>
        <w:tblLook w:firstRow="1" w:noVBand="1" w:lastRow="0" w:firstColumn="1" w:lastColumn="0" w:noHBand="0" w:val="04a0"/>
      </w:tblPr>
      <w:tblGrid>
        <w:gridCol w:w="5873"/>
        <w:gridCol w:w="1536"/>
        <w:gridCol w:w="1117"/>
      </w:tblGrid>
      <w:tr>
        <w:trPr>
          <w:trHeight w:val="315" w:hRule="atLeast"/>
        </w:trPr>
        <w:tc>
          <w:tcPr>
            <w:tcW w:w="8526" w:type="dxa"/>
            <w:gridSpan w:val="3"/>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NOME DA CONCORRENTE:</w:t>
            </w:r>
          </w:p>
        </w:tc>
      </w:tr>
      <w:tr>
        <w:trPr>
          <w:trHeight w:val="300" w:hRule="atLeast"/>
        </w:trPr>
        <w:tc>
          <w:tcPr>
            <w:tcW w:w="5873" w:type="dxa"/>
            <w:vMerge w:val="restart"/>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OBJETO:</w:t>
            </w:r>
          </w:p>
          <w:p>
            <w:pPr>
              <w:pStyle w:val="Normal"/>
              <w:rPr>
                <w:szCs w:val="20"/>
                <w:lang w:eastAsia="pt-BR"/>
              </w:rPr>
            </w:pPr>
            <w:r>
              <w:rPr>
                <w:szCs w:val="20"/>
                <w:lang w:eastAsia="pt-BR"/>
              </w:rPr>
            </w:r>
          </w:p>
        </w:tc>
        <w:tc>
          <w:tcPr>
            <w:tcW w:w="1536" w:type="dxa"/>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EDITAL</w:t>
            </w:r>
          </w:p>
        </w:tc>
        <w:tc>
          <w:tcPr>
            <w:tcW w:w="1117" w:type="dxa"/>
            <w:tcBorders>
              <w:top w:val="single" w:sz="4" w:space="0" w:color="00000A"/>
              <w:right w:val="single" w:sz="4" w:space="0" w:color="00000A"/>
              <w:insideV w:val="single" w:sz="4" w:space="0" w:color="00000A"/>
            </w:tcBorders>
            <w:shd w:color="000000" w:fill="FFFFFF" w:val="clear"/>
            <w:vAlign w:val="center"/>
          </w:tcPr>
          <w:p>
            <w:pPr>
              <w:pStyle w:val="Normal"/>
              <w:rPr>
                <w:szCs w:val="20"/>
                <w:lang w:eastAsia="pt-BR"/>
              </w:rPr>
            </w:pPr>
            <w:r>
              <w:rPr>
                <w:szCs w:val="20"/>
                <w:lang w:eastAsia="pt-BR"/>
              </w:rPr>
              <w:t>FOLHA</w:t>
            </w:r>
          </w:p>
        </w:tc>
      </w:tr>
      <w:tr>
        <w:trPr>
          <w:trHeight w:val="315" w:hRule="atLeast"/>
        </w:trPr>
        <w:tc>
          <w:tcPr>
            <w:tcW w:w="5873" w:type="dxa"/>
            <w:vMerge w:val="continue"/>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r>
          </w:p>
        </w:tc>
        <w:tc>
          <w:tcPr>
            <w:tcW w:w="1536"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______/2016</w:t>
            </w:r>
          </w:p>
        </w:tc>
        <w:tc>
          <w:tcPr>
            <w:tcW w:w="1117"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rPr>
                <w:szCs w:val="20"/>
                <w:lang w:eastAsia="pt-BR"/>
              </w:rPr>
            </w:pPr>
            <w:r>
              <w:rPr>
                <w:szCs w:val="20"/>
                <w:lang w:eastAsia="pt-BR"/>
              </w:rPr>
              <w:t>____/____</w:t>
            </w:r>
          </w:p>
        </w:tc>
      </w:tr>
    </w:tbl>
    <w:p>
      <w:pPr>
        <w:pStyle w:val="Normal"/>
        <w:rPr>
          <w:szCs w:val="20"/>
        </w:rPr>
      </w:pPr>
      <w:r>
        <w:rPr>
          <w:szCs w:val="20"/>
        </w:rPr>
      </w:r>
    </w:p>
    <w:tbl>
      <w:tblPr>
        <w:tblW w:w="8047"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5" w:type="dxa"/>
          <w:bottom w:w="0" w:type="dxa"/>
          <w:right w:w="70" w:type="dxa"/>
        </w:tblCellMar>
        <w:tblLook w:firstRow="1" w:noVBand="1" w:lastRow="0" w:firstColumn="1" w:lastColumn="0" w:noHBand="0" w:val="04a0"/>
      </w:tblPr>
      <w:tblGrid>
        <w:gridCol w:w="634"/>
        <w:gridCol w:w="3958"/>
        <w:gridCol w:w="2095"/>
        <w:gridCol w:w="1359"/>
      </w:tblGrid>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bCs/>
                <w:szCs w:val="20"/>
                <w:lang w:eastAsia="pt-BR"/>
              </w:rPr>
            </w:pPr>
            <w:r>
              <w:rPr>
                <w:bCs/>
                <w:szCs w:val="20"/>
                <w:lang w:eastAsia="pt-BR"/>
              </w:rPr>
              <w:t>Item</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bCs/>
                <w:szCs w:val="20"/>
                <w:lang w:eastAsia="pt-BR"/>
              </w:rPr>
            </w:pPr>
            <w:r>
              <w:rPr>
                <w:bCs/>
                <w:szCs w:val="20"/>
                <w:lang w:eastAsia="pt-BR"/>
              </w:rPr>
              <w:t>Descrição</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szCs w:val="20"/>
                <w:lang w:eastAsia="pt-BR"/>
              </w:rPr>
            </w:pPr>
            <w:r>
              <w:rPr>
                <w:szCs w:val="20"/>
                <w:lang w:eastAsia="pt-BR"/>
              </w:rPr>
              <w:t>% PV</w:t>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szCs w:val="20"/>
                <w:lang w:eastAsia="pt-BR"/>
              </w:rPr>
            </w:pPr>
            <w:r>
              <w:rPr>
                <w:szCs w:val="20"/>
                <w:lang w:eastAsia="pt-BR"/>
              </w:rPr>
              <w:t>% CD</w:t>
            </w:r>
          </w:p>
        </w:tc>
      </w:tr>
      <w:tr>
        <w:trPr>
          <w:trHeight w:val="23" w:hRule="exact"/>
        </w:trPr>
        <w:tc>
          <w:tcPr>
            <w:tcW w:w="634" w:type="dxa"/>
            <w:tcBorders>
              <w:top w:val="single" w:sz="4" w:space="0" w:color="00000A"/>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r>
          </w:p>
        </w:tc>
        <w:tc>
          <w:tcPr>
            <w:tcW w:w="3958" w:type="dxa"/>
            <w:tcBorders>
              <w:top w:val="single" w:sz="4" w:space="0" w:color="00000A"/>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top w:val="single" w:sz="4" w:space="0" w:color="00000A"/>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c>
          <w:tcPr>
            <w:tcW w:w="1359" w:type="dxa"/>
            <w:tcBorders>
              <w:top w:val="single" w:sz="4" w:space="0" w:color="00000A"/>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1</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ADMINISTRAÇÃO CENTRAL (AC)</w:t>
            </w:r>
          </w:p>
        </w:tc>
        <w:tc>
          <w:tcPr>
            <w:tcW w:w="2095"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t>4,93%</w:t>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2</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IMPOSTOS E TAXAS (I)</w:t>
            </w:r>
          </w:p>
        </w:tc>
        <w:tc>
          <w:tcPr>
            <w:tcW w:w="2095"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t>6,15%</w:t>
            </w:r>
          </w:p>
        </w:tc>
        <w:tc>
          <w:tcPr>
            <w:tcW w:w="1359"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2.1</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ISS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2,50%</w:t>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2.1</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PIS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0,65%</w:t>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2.3</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Cofins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3,00%</w:t>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403"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3</w:t>
            </w:r>
          </w:p>
        </w:tc>
        <w:tc>
          <w:tcPr>
            <w:tcW w:w="3958" w:type="dxa"/>
            <w:tcBorders>
              <w:right w:val="single" w:sz="4" w:space="0" w:color="00000A"/>
              <w:insideV w:val="single" w:sz="4" w:space="0" w:color="00000A"/>
            </w:tcBorders>
            <w:shd w:color="auto" w:fill="auto" w:val="clear"/>
            <w:vAlign w:val="center"/>
          </w:tcPr>
          <w:p>
            <w:pPr>
              <w:pStyle w:val="Normal"/>
              <w:jc w:val="left"/>
              <w:rPr>
                <w:bCs/>
                <w:szCs w:val="20"/>
                <w:lang w:eastAsia="pt-BR"/>
              </w:rPr>
            </w:pPr>
            <w:r>
              <w:rPr>
                <w:bCs/>
                <w:szCs w:val="20"/>
                <w:lang w:eastAsia="pt-BR"/>
              </w:rPr>
              <w:t>RISCO, SEGURO E GARANTIAS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3.1</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Risco (R)</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1,39%</w:t>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3.2</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Seguro (S)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0,25%</w:t>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3.3</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Garantias (G)</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0,24%</w:t>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4</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DESPESAS FINANCEIRAS (DF)</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t>0,99%</w:t>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5</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LUCRO (L)</w:t>
            </w:r>
          </w:p>
        </w:tc>
        <w:tc>
          <w:tcPr>
            <w:tcW w:w="2095" w:type="dxa"/>
            <w:tcBorders/>
            <w:shd w:color="auto" w:fill="auto" w:val="clear"/>
            <w:vAlign w:val="center"/>
          </w:tcPr>
          <w:p>
            <w:pPr>
              <w:pStyle w:val="Normal"/>
              <w:jc w:val="center"/>
              <w:rPr>
                <w:bCs/>
                <w:szCs w:val="20"/>
                <w:lang w:eastAsia="pt-BR"/>
              </w:rPr>
            </w:pPr>
            <w:r>
              <w:rPr>
                <w:bCs/>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8,04%</w:t>
            </w:r>
          </w:p>
        </w:tc>
      </w:tr>
      <w:tr>
        <w:trPr>
          <w:trHeight w:val="23" w:hRule="exact"/>
        </w:trPr>
        <w:tc>
          <w:tcPr>
            <w:tcW w:w="634" w:type="dxa"/>
            <w:tcBorders>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70" w:hRule="atLeast"/>
        </w:trPr>
        <w:tc>
          <w:tcPr>
            <w:tcW w:w="668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BDI* (%)=</w:t>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24,18</w:t>
            </w:r>
          </w:p>
        </w:tc>
      </w:tr>
    </w:tbl>
    <w:p>
      <w:pPr>
        <w:pStyle w:val="Normal"/>
        <w:rPr>
          <w:szCs w:val="20"/>
        </w:rPr>
      </w:pPr>
      <w:r>
        <w:rPr>
          <w:szCs w:val="20"/>
        </w:rPr>
      </w:r>
    </w:p>
    <w:p>
      <w:pPr>
        <w:pStyle w:val="Normal"/>
        <w:ind w:left="284" w:hanging="0"/>
        <w:rPr>
          <w:szCs w:val="20"/>
        </w:rPr>
      </w:pPr>
      <w:r>
        <w:rPr>
          <w:szCs w:val="20"/>
        </w:rPr>
        <w:t>Acórdão TCU nº 2.622/13</w:t>
      </w:r>
    </w:p>
    <w:p>
      <w:pPr>
        <w:pStyle w:val="Normal"/>
        <w:ind w:left="284" w:hanging="0"/>
        <w:rPr>
          <w:szCs w:val="20"/>
        </w:rPr>
      </w:pPr>
      <w:r>
        <w:rPr>
          <w:szCs w:val="20"/>
        </w:rPr>
        <w:t xml:space="preserve">BDI (%) = (((1+(AC+R+S+G))x(1+DF)x(1+L)/(1-I))-1)*100                                                                                                                                                                                                                                                   </w:t>
      </w:r>
    </w:p>
    <w:p>
      <w:pPr>
        <w:pStyle w:val="Normal"/>
        <w:ind w:left="284" w:hanging="0"/>
        <w:rPr>
          <w:szCs w:val="20"/>
        </w:rPr>
      </w:pPr>
      <w:r>
        <w:rPr>
          <w:szCs w:val="20"/>
        </w:rPr>
        <w:t>ISS municipal: 100% de 5,00% (maior valor do ISS dos municípios)</w:t>
      </w:r>
    </w:p>
    <w:p>
      <w:pPr>
        <w:pStyle w:val="Normal"/>
        <w:ind w:left="284" w:hanging="0"/>
        <w:rPr>
          <w:szCs w:val="20"/>
        </w:rPr>
      </w:pPr>
      <w:r>
        <w:rPr>
          <w:szCs w:val="20"/>
        </w:rPr>
        <w:t>Obs: Utilizar ISS real do município: Lei complementar nº 029/2004</w:t>
      </w:r>
    </w:p>
    <w:p>
      <w:pPr>
        <w:pStyle w:val="Normal"/>
        <w:ind w:left="284" w:hanging="0"/>
        <w:rPr>
          <w:szCs w:val="20"/>
        </w:rPr>
      </w:pPr>
      <w:r>
        <w:rPr>
          <w:szCs w:val="20"/>
        </w:rPr>
      </w:r>
    </w:p>
    <w:p>
      <w:pPr>
        <w:pStyle w:val="Normal"/>
        <w:rPr>
          <w:szCs w:val="20"/>
        </w:rPr>
      </w:pPr>
      <w:r>
        <w:rPr>
          <w:szCs w:val="20"/>
        </w:rPr>
      </w:r>
    </w:p>
    <w:p>
      <w:pPr>
        <w:pStyle w:val="Normal"/>
        <w:rPr>
          <w:szCs w:val="20"/>
        </w:rPr>
      </w:pPr>
      <w:r>
        <w:rPr>
          <w:szCs w:val="20"/>
        </w:rPr>
      </w:r>
      <w:r>
        <w:br w:type="page"/>
      </w:r>
    </w:p>
    <w:p>
      <w:pPr>
        <w:pStyle w:val="Normal"/>
        <w:jc w:val="center"/>
        <w:rPr>
          <w:b/>
          <w:b/>
          <w:szCs w:val="20"/>
          <w:lang w:eastAsia="pt-BR"/>
        </w:rPr>
      </w:pPr>
      <w:r>
        <w:rPr>
          <w:b/>
          <w:szCs w:val="20"/>
          <w:lang w:eastAsia="pt-BR"/>
        </w:rPr>
        <w:t>PO-XVb – Detalhamento do BDI – Fornecimento – Sem Desoneração</w:t>
      </w:r>
    </w:p>
    <w:p>
      <w:pPr>
        <w:pStyle w:val="Normal"/>
        <w:rPr>
          <w:szCs w:val="20"/>
          <w:lang w:eastAsia="pt-BR"/>
        </w:rPr>
      </w:pPr>
      <w:r>
        <w:rPr>
          <w:szCs w:val="20"/>
          <w:lang w:eastAsia="pt-BR"/>
        </w:rPr>
      </w:r>
    </w:p>
    <w:tbl>
      <w:tblPr>
        <w:tblW w:w="8526" w:type="dxa"/>
        <w:jc w:val="center"/>
        <w:tblInd w:w="0" w:type="dxa"/>
        <w:tblBorders>
          <w:top w:val="single" w:sz="4" w:space="0" w:color="00000A"/>
          <w:left w:val="single" w:sz="4" w:space="0" w:color="00000A"/>
          <w:right w:val="single" w:sz="4" w:space="0" w:color="00000A"/>
          <w:insideV w:val="single" w:sz="4" w:space="0" w:color="00000A"/>
        </w:tblBorders>
        <w:tblCellMar>
          <w:top w:w="0" w:type="dxa"/>
          <w:left w:w="65" w:type="dxa"/>
          <w:bottom w:w="0" w:type="dxa"/>
          <w:right w:w="70" w:type="dxa"/>
        </w:tblCellMar>
        <w:tblLook w:firstRow="1" w:noVBand="1" w:lastRow="0" w:firstColumn="1" w:lastColumn="0" w:noHBand="0" w:val="04a0"/>
      </w:tblPr>
      <w:tblGrid>
        <w:gridCol w:w="5873"/>
        <w:gridCol w:w="1536"/>
        <w:gridCol w:w="1117"/>
      </w:tblGrid>
      <w:tr>
        <w:trPr>
          <w:trHeight w:val="315" w:hRule="atLeast"/>
        </w:trPr>
        <w:tc>
          <w:tcPr>
            <w:tcW w:w="8526" w:type="dxa"/>
            <w:gridSpan w:val="3"/>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NOME DA CONCORRENTE:</w:t>
            </w:r>
          </w:p>
        </w:tc>
      </w:tr>
      <w:tr>
        <w:trPr>
          <w:trHeight w:val="300" w:hRule="atLeast"/>
        </w:trPr>
        <w:tc>
          <w:tcPr>
            <w:tcW w:w="5873" w:type="dxa"/>
            <w:vMerge w:val="restart"/>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OBJETO:</w:t>
            </w:r>
          </w:p>
          <w:p>
            <w:pPr>
              <w:pStyle w:val="Normal"/>
              <w:rPr>
                <w:szCs w:val="20"/>
                <w:lang w:eastAsia="pt-BR"/>
              </w:rPr>
            </w:pPr>
            <w:r>
              <w:rPr>
                <w:szCs w:val="20"/>
                <w:lang w:eastAsia="pt-BR"/>
              </w:rPr>
            </w:r>
          </w:p>
        </w:tc>
        <w:tc>
          <w:tcPr>
            <w:tcW w:w="1536" w:type="dxa"/>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EDITAL</w:t>
            </w:r>
          </w:p>
        </w:tc>
        <w:tc>
          <w:tcPr>
            <w:tcW w:w="1117" w:type="dxa"/>
            <w:tcBorders>
              <w:top w:val="single" w:sz="4" w:space="0" w:color="00000A"/>
              <w:right w:val="single" w:sz="4" w:space="0" w:color="00000A"/>
              <w:insideV w:val="single" w:sz="4" w:space="0" w:color="00000A"/>
            </w:tcBorders>
            <w:shd w:color="000000" w:fill="FFFFFF" w:val="clear"/>
            <w:vAlign w:val="center"/>
          </w:tcPr>
          <w:p>
            <w:pPr>
              <w:pStyle w:val="Normal"/>
              <w:rPr>
                <w:szCs w:val="20"/>
                <w:lang w:eastAsia="pt-BR"/>
              </w:rPr>
            </w:pPr>
            <w:r>
              <w:rPr>
                <w:szCs w:val="20"/>
                <w:lang w:eastAsia="pt-BR"/>
              </w:rPr>
              <w:t>FOLHA</w:t>
            </w:r>
          </w:p>
        </w:tc>
      </w:tr>
      <w:tr>
        <w:trPr>
          <w:trHeight w:val="315" w:hRule="atLeast"/>
        </w:trPr>
        <w:tc>
          <w:tcPr>
            <w:tcW w:w="5873" w:type="dxa"/>
            <w:vMerge w:val="continue"/>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r>
          </w:p>
        </w:tc>
        <w:tc>
          <w:tcPr>
            <w:tcW w:w="1536"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______/2016</w:t>
            </w:r>
          </w:p>
        </w:tc>
        <w:tc>
          <w:tcPr>
            <w:tcW w:w="1117"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rPr>
                <w:szCs w:val="20"/>
                <w:lang w:eastAsia="pt-BR"/>
              </w:rPr>
            </w:pPr>
            <w:r>
              <w:rPr>
                <w:szCs w:val="20"/>
                <w:lang w:eastAsia="pt-BR"/>
              </w:rPr>
              <w:t>____/____</w:t>
            </w:r>
          </w:p>
        </w:tc>
      </w:tr>
    </w:tbl>
    <w:p>
      <w:pPr>
        <w:pStyle w:val="Normal"/>
        <w:rPr>
          <w:szCs w:val="20"/>
        </w:rPr>
      </w:pPr>
      <w:r>
        <w:rPr>
          <w:szCs w:val="20"/>
        </w:rPr>
      </w:r>
    </w:p>
    <w:tbl>
      <w:tblPr>
        <w:tblW w:w="8047"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5" w:type="dxa"/>
          <w:bottom w:w="0" w:type="dxa"/>
          <w:right w:w="70" w:type="dxa"/>
        </w:tblCellMar>
        <w:tblLook w:firstRow="1" w:noVBand="1" w:lastRow="0" w:firstColumn="1" w:lastColumn="0" w:noHBand="0" w:val="04a0"/>
      </w:tblPr>
      <w:tblGrid>
        <w:gridCol w:w="634"/>
        <w:gridCol w:w="3958"/>
        <w:gridCol w:w="2095"/>
        <w:gridCol w:w="1359"/>
      </w:tblGrid>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bCs/>
                <w:szCs w:val="20"/>
                <w:lang w:eastAsia="pt-BR"/>
              </w:rPr>
            </w:pPr>
            <w:r>
              <w:rPr>
                <w:bCs/>
                <w:szCs w:val="20"/>
                <w:lang w:eastAsia="pt-BR"/>
              </w:rPr>
              <w:t>Item</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bCs/>
                <w:szCs w:val="20"/>
                <w:lang w:eastAsia="pt-BR"/>
              </w:rPr>
            </w:pPr>
            <w:r>
              <w:rPr>
                <w:bCs/>
                <w:szCs w:val="20"/>
                <w:lang w:eastAsia="pt-BR"/>
              </w:rPr>
              <w:t>Descrição</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szCs w:val="20"/>
                <w:lang w:eastAsia="pt-BR"/>
              </w:rPr>
            </w:pPr>
            <w:r>
              <w:rPr>
                <w:szCs w:val="20"/>
                <w:lang w:eastAsia="pt-BR"/>
              </w:rPr>
              <w:t>% PV</w:t>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szCs w:val="20"/>
                <w:lang w:eastAsia="pt-BR"/>
              </w:rPr>
            </w:pPr>
            <w:r>
              <w:rPr>
                <w:szCs w:val="20"/>
                <w:lang w:eastAsia="pt-BR"/>
              </w:rPr>
              <w:t>% CD</w:t>
            </w:r>
          </w:p>
        </w:tc>
      </w:tr>
      <w:tr>
        <w:trPr>
          <w:trHeight w:val="23" w:hRule="exact"/>
        </w:trPr>
        <w:tc>
          <w:tcPr>
            <w:tcW w:w="634" w:type="dxa"/>
            <w:tcBorders>
              <w:top w:val="single" w:sz="4" w:space="0" w:color="00000A"/>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r>
          </w:p>
        </w:tc>
        <w:tc>
          <w:tcPr>
            <w:tcW w:w="3958" w:type="dxa"/>
            <w:tcBorders>
              <w:top w:val="single" w:sz="4" w:space="0" w:color="00000A"/>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top w:val="single" w:sz="4" w:space="0" w:color="00000A"/>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c>
          <w:tcPr>
            <w:tcW w:w="1359" w:type="dxa"/>
            <w:tcBorders>
              <w:top w:val="single" w:sz="4" w:space="0" w:color="00000A"/>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1</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ADMINISTRAÇÃO CENTRAL (AC)</w:t>
            </w:r>
          </w:p>
        </w:tc>
        <w:tc>
          <w:tcPr>
            <w:tcW w:w="2095"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3,45%</w:t>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2</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IMPOSTOS E TAXAS (I)</w:t>
            </w:r>
          </w:p>
        </w:tc>
        <w:tc>
          <w:tcPr>
            <w:tcW w:w="2095"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t>3,65%</w:t>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2.1</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ISS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0,00%</w:t>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2.1</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PIS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0,65%</w:t>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2.3</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Cofins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3,00%</w:t>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392"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3</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RISCO, SEGURO E GARANTIAS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1,33</w:t>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3.1</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Risco (R)</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0,85%</w:t>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3.2</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Seguro (S)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0,24%</w:t>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3.3</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Garantia (G)</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0,24%</w:t>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4</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DESPESAS FINANCEIRAS (DF)</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0,85%</w:t>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5</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LUCRO (L)</w:t>
            </w:r>
          </w:p>
        </w:tc>
        <w:tc>
          <w:tcPr>
            <w:tcW w:w="2095"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3,96%</w:t>
            </w:r>
          </w:p>
        </w:tc>
      </w:tr>
      <w:tr>
        <w:trPr>
          <w:trHeight w:val="23" w:hRule="exact"/>
        </w:trPr>
        <w:tc>
          <w:tcPr>
            <w:tcW w:w="634" w:type="dxa"/>
            <w:tcBorders>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70" w:hRule="atLeast"/>
        </w:trPr>
        <w:tc>
          <w:tcPr>
            <w:tcW w:w="668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BDI* (%)=</w:t>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14,02%</w:t>
            </w:r>
          </w:p>
        </w:tc>
      </w:tr>
    </w:tbl>
    <w:p>
      <w:pPr>
        <w:pStyle w:val="Normal"/>
        <w:rPr>
          <w:szCs w:val="20"/>
        </w:rPr>
      </w:pPr>
      <w:r>
        <w:rPr>
          <w:szCs w:val="20"/>
        </w:rPr>
      </w:r>
    </w:p>
    <w:p>
      <w:pPr>
        <w:pStyle w:val="Normal"/>
        <w:ind w:left="284" w:hanging="0"/>
        <w:rPr>
          <w:szCs w:val="20"/>
        </w:rPr>
      </w:pPr>
      <w:r>
        <w:rPr>
          <w:szCs w:val="20"/>
        </w:rPr>
        <w:t>Considerações:</w:t>
      </w:r>
    </w:p>
    <w:p>
      <w:pPr>
        <w:pStyle w:val="Normal"/>
        <w:ind w:left="284" w:hanging="0"/>
        <w:rPr>
          <w:szCs w:val="20"/>
        </w:rPr>
      </w:pPr>
      <w:r>
        <w:rPr>
          <w:szCs w:val="20"/>
        </w:rPr>
        <w:t>Acórdão nº 2.622/2013</w:t>
      </w:r>
    </w:p>
    <w:p>
      <w:pPr>
        <w:pStyle w:val="Normal"/>
        <w:ind w:left="284" w:hanging="0"/>
        <w:rPr>
          <w:szCs w:val="20"/>
        </w:rPr>
      </w:pPr>
      <w:r>
        <w:rPr>
          <w:szCs w:val="20"/>
        </w:rPr>
        <w:t>BDI (%) = (((1+(AC+S+R+G))x(1+DF)x(1+L)/(1-I))-1)x100</w:t>
      </w:r>
    </w:p>
    <w:p>
      <w:pPr>
        <w:pStyle w:val="Caption"/>
        <w:rPr>
          <w:rFonts w:ascii="Arial" w:hAnsi="Arial"/>
          <w:szCs w:val="20"/>
        </w:rPr>
      </w:pPr>
      <w:r>
        <w:rPr>
          <w:rFonts w:ascii="Arial" w:hAnsi="Arial"/>
          <w:szCs w:val="20"/>
        </w:rPr>
      </w:r>
      <w:r>
        <w:br w:type="page"/>
      </w:r>
    </w:p>
    <w:p>
      <w:pPr>
        <w:pStyle w:val="Caption"/>
        <w:rPr/>
      </w:pPr>
      <w:bookmarkStart w:id="64" w:name="_Ref450206152"/>
      <w:bookmarkStart w:id="65" w:name="_Ref450205759"/>
      <w:r>
        <w:rPr>
          <w:rFonts w:ascii="Arial" w:hAnsi="Arial"/>
          <w:szCs w:val="20"/>
        </w:rPr>
        <w:t xml:space="preserve">Anexo </w:t>
      </w:r>
      <w:r>
        <w:rPr>
          <w:rFonts w:ascii="Arial" w:hAnsi="Arial"/>
          <w:szCs w:val="20"/>
        </w:rPr>
        <w:fldChar w:fldCharType="begin"/>
      </w:r>
      <w:r>
        <w:instrText> SEQ Anexo \* ROMAN </w:instrText>
      </w:r>
      <w:r>
        <w:fldChar w:fldCharType="separate"/>
      </w:r>
      <w:r>
        <w:t>IV</w:t>
      </w:r>
      <w:r>
        <w:fldChar w:fldCharType="end"/>
      </w:r>
      <w:bookmarkEnd w:id="65"/>
      <w:bookmarkEnd w:id="64"/>
      <w:r>
        <w:rPr>
          <w:rFonts w:ascii="Arial" w:hAnsi="Arial"/>
          <w:szCs w:val="20"/>
        </w:rPr>
        <w:t>: Projeto Básico / Normas, Especificações Técnicas, Desenhos e memoriais</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bookmarkStart w:id="66" w:name="_Toc352230698"/>
      <w:bookmarkStart w:id="67" w:name="_Toc352230698"/>
      <w:bookmarkEnd w:id="67"/>
      <w:r>
        <w:rPr>
          <w:szCs w:val="20"/>
        </w:rPr>
      </w:r>
    </w:p>
    <w:p>
      <w:pPr>
        <w:pStyle w:val="Normal"/>
        <w:jc w:val="center"/>
        <w:rPr>
          <w:b/>
          <w:b/>
          <w:szCs w:val="20"/>
        </w:rPr>
      </w:pPr>
      <w:r>
        <w:rPr>
          <w:b/>
          <w:szCs w:val="20"/>
        </w:rPr>
        <w:t>PROJETO BÁSICO / NORMAS, ESPECIFICAÇÕES TÉCNICAS, DESENHOS E MEMORIAIS</w:t>
      </w:r>
    </w:p>
    <w:p>
      <w:pPr>
        <w:pStyle w:val="Normal"/>
        <w:jc w:val="center"/>
        <w:rPr>
          <w:b/>
          <w:b/>
          <w:szCs w:val="20"/>
        </w:rPr>
      </w:pPr>
      <w:r>
        <w:rPr>
          <w:b/>
          <w:szCs w:val="20"/>
        </w:rPr>
      </w:r>
    </w:p>
    <w:p>
      <w:pPr>
        <w:pStyle w:val="Normal"/>
        <w:rPr>
          <w:szCs w:val="20"/>
        </w:rPr>
      </w:pPr>
      <w:r>
        <w:rPr>
          <w:szCs w:val="20"/>
        </w:rPr>
      </w:r>
    </w:p>
    <w:p>
      <w:pPr>
        <w:pStyle w:val="Normal"/>
        <w:jc w:val="center"/>
        <w:rPr>
          <w:b/>
          <w:b/>
          <w:szCs w:val="20"/>
        </w:rPr>
      </w:pPr>
      <w:r>
        <w:rPr>
          <w:b/>
          <w:szCs w:val="20"/>
        </w:rPr>
        <w:t>(GRAVADO EM ARQUIVO SEPARADO)</w:t>
      </w:r>
      <w:r>
        <w:br w:type="page"/>
      </w:r>
    </w:p>
    <w:p>
      <w:pPr>
        <w:pStyle w:val="Caption"/>
        <w:rPr/>
      </w:pPr>
      <w:bookmarkStart w:id="68" w:name="_Ref450206154"/>
      <w:bookmarkStart w:id="69" w:name="_Ref450206111"/>
      <w:r>
        <w:rPr>
          <w:rFonts w:ascii="Arial" w:hAnsi="Arial"/>
          <w:szCs w:val="20"/>
        </w:rPr>
        <w:t xml:space="preserve">Anexo </w:t>
      </w:r>
      <w:r>
        <w:rPr>
          <w:rFonts w:ascii="Arial" w:hAnsi="Arial"/>
          <w:szCs w:val="20"/>
        </w:rPr>
        <w:fldChar w:fldCharType="begin"/>
      </w:r>
      <w:r>
        <w:instrText> SEQ Anexo \* ROMAN </w:instrText>
      </w:r>
      <w:r>
        <w:fldChar w:fldCharType="separate"/>
      </w:r>
      <w:r>
        <w:t>V</w:t>
      </w:r>
      <w:r>
        <w:fldChar w:fldCharType="end"/>
      </w:r>
      <w:bookmarkEnd w:id="69"/>
      <w:bookmarkEnd w:id="68"/>
      <w:r>
        <w:rPr>
          <w:rFonts w:ascii="Arial" w:hAnsi="Arial"/>
          <w:szCs w:val="20"/>
        </w:rPr>
        <w:t>: Manual de Uso da Marca do Governo</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jc w:val="center"/>
        <w:rPr>
          <w:b/>
          <w:b/>
          <w:szCs w:val="20"/>
        </w:rPr>
      </w:pPr>
      <w:r>
        <w:rPr>
          <w:b/>
          <w:szCs w:val="20"/>
        </w:rPr>
        <w:t>Manual de Uso da Marca do Governo Federal</w:t>
      </w:r>
    </w:p>
    <w:p>
      <w:pPr>
        <w:pStyle w:val="Normal"/>
        <w:jc w:val="center"/>
        <w:rPr>
          <w:b/>
          <w:b/>
          <w:szCs w:val="20"/>
        </w:rPr>
      </w:pPr>
      <w:r>
        <w:rPr>
          <w:b/>
          <w:szCs w:val="20"/>
        </w:rPr>
        <w:t>Obras (Modelo de Placas Codevasf)</w:t>
      </w:r>
    </w:p>
    <w:p>
      <w:pPr>
        <w:pStyle w:val="Normal"/>
        <w:rPr>
          <w:szCs w:val="20"/>
        </w:rPr>
      </w:pPr>
      <w:r>
        <w:rPr>
          <w:szCs w:val="20"/>
        </w:rPr>
      </w:r>
    </w:p>
    <w:p>
      <w:pPr>
        <w:pStyle w:val="Normal"/>
        <w:rPr>
          <w:szCs w:val="20"/>
        </w:rPr>
      </w:pPr>
      <w:r>
        <w:rPr>
          <w:szCs w:val="20"/>
        </w:rPr>
      </w:r>
    </w:p>
    <w:p>
      <w:pPr>
        <w:pStyle w:val="Normal"/>
        <w:jc w:val="center"/>
        <w:rPr>
          <w:b/>
          <w:b/>
          <w:szCs w:val="20"/>
        </w:rPr>
      </w:pPr>
      <w:r>
        <w:rPr>
          <w:b/>
          <w:szCs w:val="20"/>
        </w:rPr>
        <w:t>(GRAVADO EM ARQUIVO SEPARADO)</w:t>
      </w:r>
    </w:p>
    <w:p>
      <w:pPr>
        <w:pStyle w:val="Caption"/>
        <w:rPr>
          <w:rFonts w:ascii="Arial" w:hAnsi="Arial"/>
          <w:szCs w:val="20"/>
        </w:rPr>
      </w:pPr>
      <w:bookmarkStart w:id="70" w:name="_Ref440985641"/>
      <w:bookmarkStart w:id="71" w:name="_Ref440983061"/>
      <w:bookmarkStart w:id="72" w:name="_Ref440982981"/>
      <w:bookmarkStart w:id="73" w:name="_Ref440982869"/>
      <w:bookmarkStart w:id="74" w:name="_Toc440982781"/>
      <w:bookmarkStart w:id="75" w:name="_Ref394393227"/>
      <w:bookmarkStart w:id="76" w:name="_Ref394333278"/>
      <w:bookmarkStart w:id="77" w:name="_Ref394333135"/>
      <w:bookmarkStart w:id="78" w:name="_Ref394332982"/>
      <w:bookmarkStart w:id="79" w:name="_Toc392675805"/>
      <w:bookmarkStart w:id="80" w:name="_Ref440985641"/>
      <w:bookmarkStart w:id="81" w:name="_Ref440983061"/>
      <w:bookmarkStart w:id="82" w:name="_Ref440982981"/>
      <w:bookmarkStart w:id="83" w:name="_Ref440982869"/>
      <w:bookmarkStart w:id="84" w:name="_Toc440982781"/>
      <w:bookmarkStart w:id="85" w:name="_Ref394393227"/>
      <w:bookmarkStart w:id="86" w:name="_Ref394333278"/>
      <w:bookmarkStart w:id="87" w:name="_Ref394333135"/>
      <w:bookmarkStart w:id="88" w:name="_Ref394332982"/>
      <w:bookmarkStart w:id="89" w:name="_Toc392675805"/>
      <w:bookmarkEnd w:id="80"/>
      <w:bookmarkEnd w:id="81"/>
      <w:bookmarkEnd w:id="82"/>
      <w:bookmarkEnd w:id="83"/>
      <w:bookmarkEnd w:id="84"/>
      <w:bookmarkEnd w:id="85"/>
      <w:bookmarkEnd w:id="86"/>
      <w:bookmarkEnd w:id="87"/>
      <w:bookmarkEnd w:id="88"/>
      <w:bookmarkEnd w:id="89"/>
      <w:r>
        <w:rPr>
          <w:rFonts w:ascii="Arial" w:hAnsi="Arial"/>
          <w:szCs w:val="20"/>
        </w:rPr>
      </w:r>
      <w:r>
        <w:br w:type="page"/>
      </w:r>
    </w:p>
    <w:p>
      <w:pPr>
        <w:pStyle w:val="Caption"/>
        <w:rPr/>
      </w:pPr>
      <w:bookmarkStart w:id="90" w:name="_Ref440985641"/>
      <w:bookmarkStart w:id="91" w:name="_Ref440983061"/>
      <w:bookmarkStart w:id="92" w:name="_Ref440982981"/>
      <w:bookmarkStart w:id="93" w:name="_Ref440982869"/>
      <w:bookmarkStart w:id="94" w:name="_Toc440982781"/>
      <w:bookmarkStart w:id="95" w:name="_Ref394393227"/>
      <w:bookmarkStart w:id="96" w:name="_Ref394333278"/>
      <w:bookmarkStart w:id="97" w:name="_Ref394333135"/>
      <w:bookmarkStart w:id="98" w:name="_Ref394332982"/>
      <w:bookmarkStart w:id="99" w:name="_Toc392675805"/>
      <w:bookmarkStart w:id="100" w:name="_Ref462845951"/>
      <w:bookmarkStart w:id="101" w:name="_Ref450205763"/>
      <w:bookmarkEnd w:id="90"/>
      <w:bookmarkEnd w:id="91"/>
      <w:bookmarkEnd w:id="92"/>
      <w:bookmarkEnd w:id="93"/>
      <w:bookmarkEnd w:id="94"/>
      <w:bookmarkEnd w:id="95"/>
      <w:bookmarkEnd w:id="96"/>
      <w:bookmarkEnd w:id="97"/>
      <w:bookmarkEnd w:id="98"/>
      <w:bookmarkEnd w:id="99"/>
      <w:r>
        <w:rPr>
          <w:rFonts w:ascii="Arial" w:hAnsi="Arial"/>
          <w:szCs w:val="20"/>
        </w:rPr>
        <w:t xml:space="preserve">Anexo </w:t>
      </w:r>
      <w:r>
        <w:rPr>
          <w:rFonts w:ascii="Arial" w:hAnsi="Arial"/>
          <w:szCs w:val="20"/>
        </w:rPr>
        <w:fldChar w:fldCharType="begin"/>
      </w:r>
      <w:r>
        <w:instrText> SEQ Anexo \* ROMAN </w:instrText>
      </w:r>
      <w:r>
        <w:fldChar w:fldCharType="separate"/>
      </w:r>
      <w:r>
        <w:t>VI</w:t>
      </w:r>
      <w:r>
        <w:fldChar w:fldCharType="end"/>
      </w:r>
      <w:bookmarkStart w:id="102" w:name="_Ref450206160"/>
      <w:bookmarkEnd w:id="101"/>
      <w:bookmarkEnd w:id="100"/>
      <w:bookmarkEnd w:id="102"/>
      <w:r>
        <w:rPr>
          <w:rFonts w:ascii="Arial" w:hAnsi="Arial"/>
          <w:szCs w:val="20"/>
        </w:rPr>
        <w:t>: Planilha de Custos do Valor do Orçamento de Referência</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jc w:val="center"/>
        <w:rPr>
          <w:b/>
          <w:b/>
          <w:szCs w:val="20"/>
        </w:rPr>
      </w:pPr>
      <w:r>
        <w:rPr>
          <w:b/>
          <w:szCs w:val="20"/>
        </w:rPr>
        <w:t>PLANILHA DE CUSTOS DO VALOR DO ORÇAMENTO DE REFERÊNCIA</w:t>
      </w:r>
    </w:p>
    <w:p>
      <w:pPr>
        <w:pStyle w:val="Normal"/>
        <w:rPr>
          <w:szCs w:val="20"/>
        </w:rPr>
      </w:pPr>
      <w:r>
        <w:rPr>
          <w:szCs w:val="20"/>
        </w:rPr>
      </w:r>
    </w:p>
    <w:p>
      <w:pPr>
        <w:pStyle w:val="Normal"/>
        <w:jc w:val="center"/>
        <w:rPr>
          <w:b/>
          <w:b/>
          <w:szCs w:val="20"/>
        </w:rPr>
      </w:pPr>
      <w:r>
        <w:rPr>
          <w:b/>
          <w:szCs w:val="20"/>
        </w:rPr>
        <w:t>(GRAVADO EM ARQUIVO SEPARADO)</w:t>
      </w:r>
    </w:p>
    <w:p>
      <w:pPr>
        <w:pStyle w:val="Normal"/>
        <w:jc w:val="center"/>
        <w:rPr/>
      </w:pPr>
      <w:r>
        <w:rPr/>
      </w:r>
    </w:p>
    <w:sectPr>
      <w:headerReference w:type="default" r:id="rId3"/>
      <w:footerReference w:type="default" r:id="rId4"/>
      <w:type w:val="nextPage"/>
      <w:pgSz w:w="11906" w:h="16838"/>
      <w:pgMar w:left="1133" w:right="1700" w:header="1417" w:top="1700" w:footer="851" w:bottom="1134" w:gutter="0"/>
      <w:pgBorders w:display="allPages" w:offsetFrom="page">
        <w:top w:val="single" w:sz="4" w:space="24" w:color="00000A"/>
        <w:left w:val="single" w:sz="4" w:space="3272" w:color="00000A"/>
        <w:bottom w:val="single" w:sz="4" w:space="24" w:color="00000A"/>
        <w:right w:val="single" w:sz="4" w:space="52" w:color="00000A"/>
      </w:pgBorders>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Liberation Sans">
    <w:altName w:val="Arial"/>
    <w:charset w:val="00"/>
    <w:family w:val="swiss"/>
    <w:pitch w:val="variable"/>
  </w:font>
  <w:font w:name="Arial Negrito">
    <w:charset w:val="00"/>
    <w:family w:val="roman"/>
    <w:pitch w:val="variable"/>
  </w:font>
  <w:font w:name="Times New Roman PS">
    <w:charset w:val="00"/>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03287689"/>
    </w:sdtPr>
    <w:sdtContent>
      <w:p>
        <w:pPr>
          <w:pStyle w:val="Rodap"/>
          <w:jc w:val="right"/>
          <w:rPr/>
        </w:pPr>
        <w:r>
          <w:rPr/>
          <w:fldChar w:fldCharType="begin"/>
        </w:r>
        <w:r>
          <w:instrText> PAGE </w:instrText>
        </w:r>
        <w:r>
          <w:fldChar w:fldCharType="separate"/>
        </w:r>
        <w:r>
          <w:t>41</w:t>
        </w:r>
        <w: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0206" w:type="dxa"/>
      <w:jc w:val="center"/>
      <w:tblInd w:w="0" w:type="dxa"/>
      <w:tblBorders/>
      <w:tblCellMar>
        <w:top w:w="0" w:type="dxa"/>
        <w:left w:w="108" w:type="dxa"/>
        <w:bottom w:w="0" w:type="dxa"/>
        <w:right w:w="108" w:type="dxa"/>
      </w:tblCellMar>
      <w:tblLook w:firstRow="1" w:noVBand="1" w:lastRow="0" w:firstColumn="1" w:lastColumn="0" w:noHBand="0" w:val="04a0"/>
    </w:tblPr>
    <w:tblGrid>
      <w:gridCol w:w="2976"/>
      <w:gridCol w:w="7229"/>
    </w:tblGrid>
    <w:tr>
      <w:trPr>
        <w:trHeight w:val="113" w:hRule="atLeast"/>
      </w:trPr>
      <w:tc>
        <w:tcPr>
          <w:tcW w:w="2976" w:type="dxa"/>
          <w:tcBorders/>
          <w:shd w:fill="auto" w:val="clear"/>
          <w:vAlign w:val="center"/>
        </w:tcPr>
        <w:p>
          <w:pPr>
            <w:pStyle w:val="Cabealho"/>
            <w:rPr/>
          </w:pPr>
          <w:r>
            <w:rPr/>
            <w:drawing>
              <wp:inline distT="0" distB="0" distL="0" distR="1905">
                <wp:extent cx="1751330" cy="460375"/>
                <wp:effectExtent l="0" t="0" r="0" b="0"/>
                <wp:docPr id="2" name="Imagem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8" descr=""/>
                        <pic:cNvPicPr>
                          <a:picLocks noChangeAspect="1" noChangeArrowheads="1"/>
                        </pic:cNvPicPr>
                      </pic:nvPicPr>
                      <pic:blipFill>
                        <a:blip r:embed="rId1"/>
                        <a:stretch>
                          <a:fillRect/>
                        </a:stretch>
                      </pic:blipFill>
                      <pic:spPr bwMode="auto">
                        <a:xfrm>
                          <a:off x="0" y="0"/>
                          <a:ext cx="1751330" cy="460375"/>
                        </a:xfrm>
                        <a:prstGeom prst="rect">
                          <a:avLst/>
                        </a:prstGeom>
                      </pic:spPr>
                    </pic:pic>
                  </a:graphicData>
                </a:graphic>
              </wp:inline>
            </w:drawing>
          </w:r>
        </w:p>
      </w:tc>
      <w:tc>
        <w:tcPr>
          <w:tcW w:w="7229" w:type="dxa"/>
          <w:tcBorders/>
          <w:shd w:fill="auto" w:val="clear"/>
          <w:vAlign w:val="center"/>
        </w:tcPr>
        <w:p>
          <w:pPr>
            <w:pStyle w:val="Cabealho"/>
            <w:rPr>
              <w:b/>
              <w:b/>
              <w:sz w:val="28"/>
              <w:szCs w:val="28"/>
            </w:rPr>
          </w:pPr>
          <w:r>
            <w:rPr>
              <w:b/>
              <w:sz w:val="28"/>
              <w:szCs w:val="28"/>
            </w:rPr>
            <w:t>Ministério da Integração Nacional</w:t>
          </w:r>
        </w:p>
        <w:p>
          <w:pPr>
            <w:pStyle w:val="Cabealho"/>
            <w:rPr>
              <w:b/>
              <w:b/>
              <w:sz w:val="19"/>
              <w:szCs w:val="19"/>
            </w:rPr>
          </w:pPr>
          <w:r>
            <w:rPr>
              <w:b/>
              <w:sz w:val="19"/>
              <w:szCs w:val="19"/>
            </w:rPr>
            <w:t>Companhia de Desenvolvimento dos Vales do São Francisco e do Parnaíba</w:t>
          </w:r>
        </w:p>
        <w:p>
          <w:pPr>
            <w:pStyle w:val="Cabealho"/>
            <w:rPr>
              <w:b/>
              <w:b/>
            </w:rPr>
          </w:pPr>
          <w:r>
            <w:rPr>
              <w:b/>
            </w:rPr>
            <w:t>Área de _________________________________</w:t>
          </w:r>
        </w:p>
      </w:tc>
    </w:tr>
  </w:tbl>
  <w:p>
    <w:pPr>
      <w:pStyle w:val="Cabealho"/>
      <w:rPr>
        <w:sz w:val="12"/>
        <w:szCs w:val="12"/>
      </w:rPr>
    </w:pPr>
    <w:r>
      <w:rPr>
        <w:sz w:val="12"/>
        <w:szCs w:val="12"/>
      </w:rPr>
      <mc:AlternateContent>
        <mc:Choice Requires="wps">
          <w:drawing>
            <wp:anchor behindDoc="1" distT="0" distB="0" distL="114300" distR="113665" simplePos="0" locked="0" layoutInCell="1" allowOverlap="1" relativeHeight="43">
              <wp:simplePos x="0" y="0"/>
              <wp:positionH relativeFrom="column">
                <wp:posOffset>4511040</wp:posOffset>
              </wp:positionH>
              <wp:positionV relativeFrom="paragraph">
                <wp:posOffset>-1144270</wp:posOffset>
              </wp:positionV>
              <wp:extent cx="1667510" cy="755650"/>
              <wp:effectExtent l="0" t="0" r="9525" b="6985"/>
              <wp:wrapNone/>
              <wp:docPr id="3" name="Rectangle 2"/>
              <a:graphic xmlns:a="http://schemas.openxmlformats.org/drawingml/2006/main">
                <a:graphicData uri="http://schemas.microsoft.com/office/word/2010/wordprocessingShape">
                  <wps:wsp>
                    <wps:cNvSpPr/>
                    <wps:spPr>
                      <a:xfrm>
                        <a:off x="0" y="0"/>
                        <a:ext cx="1666800" cy="754920"/>
                      </a:xfrm>
                      <a:prstGeom prst="rect">
                        <a:avLst/>
                      </a:prstGeom>
                      <a:solidFill>
                        <a:srgbClr val="ffffff"/>
                      </a:solidFill>
                      <a:ln>
                        <a:noFill/>
                      </a:ln>
                    </wps:spPr>
                    <wps:style>
                      <a:lnRef idx="0"/>
                      <a:fillRef idx="0"/>
                      <a:effectRef idx="0"/>
                      <a:fontRef idx="minor"/>
                    </wps:style>
                    <wps:txbx>
                      <w:txbxContent>
                        <w:p>
                          <w:pPr>
                            <w:pStyle w:val="Contedodoquadro"/>
                            <w:spacing w:before="120" w:after="0"/>
                            <w:rPr>
                              <w:sz w:val="19"/>
                              <w:szCs w:val="19"/>
                            </w:rPr>
                          </w:pPr>
                          <w:r>
                            <w:rPr>
                              <w:color w:val="auto"/>
                              <w:sz w:val="19"/>
                              <w:szCs w:val="19"/>
                            </w:rPr>
                            <w:t>Fls.: ____________________</w:t>
                          </w:r>
                        </w:p>
                        <w:p>
                          <w:pPr>
                            <w:pStyle w:val="NormalWeb"/>
                            <w:spacing w:beforeAutospacing="0" w:before="120" w:afterAutospacing="0" w:after="0"/>
                            <w:jc w:val="both"/>
                            <w:rPr>
                              <w:rFonts w:ascii="Arial" w:hAnsi="Arial" w:cs="Arial"/>
                              <w:sz w:val="19"/>
                              <w:szCs w:val="19"/>
                            </w:rPr>
                          </w:pPr>
                          <w:r>
                            <w:rPr>
                              <w:rFonts w:cs="Arial" w:ascii="Arial" w:hAnsi="Arial"/>
                              <w:color w:val="auto"/>
                              <w:sz w:val="19"/>
                              <w:szCs w:val="19"/>
                            </w:rPr>
                            <w:t>Proc.: 59540.000724/2018-26</w:t>
                          </w:r>
                        </w:p>
                        <w:p>
                          <w:pPr>
                            <w:pStyle w:val="NormalWeb"/>
                            <w:spacing w:beforeAutospacing="0" w:before="120" w:afterAutospacing="0" w:after="0"/>
                            <w:jc w:val="both"/>
                            <w:rPr>
                              <w:rFonts w:ascii="Arial" w:hAnsi="Arial" w:cs="Arial"/>
                              <w:sz w:val="20"/>
                              <w:szCs w:val="20"/>
                            </w:rPr>
                          </w:pPr>
                          <w:r>
                            <w:rPr>
                              <w:rFonts w:cs="Arial" w:ascii="Arial" w:hAnsi="Arial"/>
                              <w:color w:val="auto"/>
                              <w:sz w:val="19"/>
                              <w:szCs w:val="19"/>
                            </w:rPr>
                            <w:t>________________________</w:t>
                          </w:r>
                        </w:p>
                      </w:txbxContent>
                    </wps:txbx>
                    <wps:bodyPr lIns="0" rIns="0" tIns="0" bIns="0">
                      <a:noAutofit/>
                    </wps:bodyPr>
                  </wps:wsp>
                </a:graphicData>
              </a:graphic>
            </wp:anchor>
          </w:drawing>
        </mc:Choice>
        <mc:Fallback>
          <w:pict>
            <v:rect id="shape_0" ID="Rectangle 2" fillcolor="white" stroked="f" style="position:absolute;margin-left:355.2pt;margin-top:-90.1pt;width:131.2pt;height:59.4pt">
              <w10:wrap type="square"/>
              <v:fill o:detectmouseclick="t" type="solid" color2="black"/>
              <v:stroke color="#3465a4" joinstyle="round" endcap="flat"/>
              <v:textbox>
                <w:txbxContent>
                  <w:p>
                    <w:pPr>
                      <w:pStyle w:val="Contedodoquadro"/>
                      <w:spacing w:before="120" w:after="0"/>
                      <w:rPr>
                        <w:sz w:val="19"/>
                        <w:szCs w:val="19"/>
                      </w:rPr>
                    </w:pPr>
                    <w:r>
                      <w:rPr>
                        <w:color w:val="auto"/>
                        <w:sz w:val="19"/>
                        <w:szCs w:val="19"/>
                      </w:rPr>
                      <w:t>Fls.: ____________________</w:t>
                    </w:r>
                  </w:p>
                  <w:p>
                    <w:pPr>
                      <w:pStyle w:val="NormalWeb"/>
                      <w:spacing w:beforeAutospacing="0" w:before="120" w:afterAutospacing="0" w:after="0"/>
                      <w:jc w:val="both"/>
                      <w:rPr>
                        <w:rFonts w:ascii="Arial" w:hAnsi="Arial" w:cs="Arial"/>
                        <w:sz w:val="19"/>
                        <w:szCs w:val="19"/>
                      </w:rPr>
                    </w:pPr>
                    <w:r>
                      <w:rPr>
                        <w:rFonts w:cs="Arial" w:ascii="Arial" w:hAnsi="Arial"/>
                        <w:color w:val="auto"/>
                        <w:sz w:val="19"/>
                        <w:szCs w:val="19"/>
                      </w:rPr>
                      <w:t>Proc.: 59540.000724/2018-26</w:t>
                    </w:r>
                  </w:p>
                  <w:p>
                    <w:pPr>
                      <w:pStyle w:val="NormalWeb"/>
                      <w:spacing w:beforeAutospacing="0" w:before="120" w:afterAutospacing="0" w:after="0"/>
                      <w:jc w:val="both"/>
                      <w:rPr>
                        <w:rFonts w:ascii="Arial" w:hAnsi="Arial" w:cs="Arial"/>
                        <w:sz w:val="20"/>
                        <w:szCs w:val="20"/>
                      </w:rPr>
                    </w:pPr>
                    <w:r>
                      <w:rPr>
                        <w:rFonts w:cs="Arial" w:ascii="Arial" w:hAnsi="Arial"/>
                        <w:color w:val="auto"/>
                        <w:sz w:val="19"/>
                        <w:szCs w:val="19"/>
                      </w:rPr>
                      <w:t>________________________</w:t>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decimal"/>
      <w:lvlText w:val="%1.%2."/>
      <w:lvlJc w:val="left"/>
      <w:pPr>
        <w:ind w:left="792" w:hanging="432"/>
      </w:pPr>
      <w:rPr>
        <w:b w:val="false"/>
        <w:color w:val="000000"/>
      </w:r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ind w:left="360" w:hanging="360"/>
      </w:pPr>
    </w:lvl>
    <w:lvl w:ilvl="1">
      <w:start w:val="1"/>
      <w:numFmt w:val="decimal"/>
      <w:lvlText w:val="%1.%2."/>
      <w:lvlJc w:val="left"/>
      <w:pPr>
        <w:ind w:left="792" w:hanging="432"/>
      </w:pPr>
      <w:rPr>
        <w:b w:val="false"/>
        <w:color w:val="000000"/>
      </w:r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Fonts w:cs="Courier New"/>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Fonts w:cs="Courier New"/>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Fonts w:cs="Courier New"/>
      </w:rPr>
    </w:lvl>
    <w:lvl w:ilvl="8">
      <w:start w:val="1"/>
      <w:numFmt w:val="bullet"/>
      <w:lvlText w:val=""/>
      <w:lvlJc w:val="left"/>
      <w:pPr>
        <w:ind w:left="7693" w:hanging="360"/>
      </w:pPr>
      <w:rPr>
        <w:rFonts w:ascii="Wingdings" w:hAnsi="Wingdings" w:cs="Wingdings" w:hint="default"/>
      </w:rPr>
    </w:lvl>
  </w:abstractNum>
  <w:abstractNum w:abstractNumId="7">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Fonts w:cs="Courier New"/>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Fonts w:cs="Courier New"/>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Fonts w:cs="Courier New"/>
      </w:rPr>
    </w:lvl>
    <w:lvl w:ilvl="8">
      <w:start w:val="1"/>
      <w:numFmt w:val="bullet"/>
      <w:lvlText w:val=""/>
      <w:lvlJc w:val="left"/>
      <w:pPr>
        <w:ind w:left="7693" w:hanging="360"/>
      </w:pPr>
      <w:rPr>
        <w:rFonts w:ascii="Wingdings" w:hAnsi="Wingdings" w:cs="Wingdings" w:hint="default"/>
      </w:rPr>
    </w:lvl>
  </w:abstractNum>
  <w:abstractNum w:abstractNumId="8">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Fonts w:cs="Courier New"/>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Fonts w:cs="Courier New"/>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Fonts w:cs="Courier New"/>
      </w:rPr>
    </w:lvl>
    <w:lvl w:ilvl="8">
      <w:start w:val="1"/>
      <w:numFmt w:val="bullet"/>
      <w:lvlText w:val=""/>
      <w:lvlJc w:val="left"/>
      <w:pPr>
        <w:ind w:left="7693" w:hanging="360"/>
      </w:pPr>
      <w:rPr>
        <w:rFonts w:ascii="Wingdings" w:hAnsi="Wingdings" w:cs="Wingdings" w:hint="default"/>
      </w:rPr>
    </w:lvl>
  </w:abstractNum>
  <w:abstractNum w:abstractNumId="9">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1">
    <w:lvl w:ilvl="0">
      <w:start w:val="1"/>
      <w:numFmt w:val="lowerLetter"/>
      <w:lvlText w:val="%1)"/>
      <w:lvlJc w:val="left"/>
      <w:pPr>
        <w:ind w:left="720" w:hanging="360"/>
      </w:pPr>
      <w:rPr>
        <w:sz w:val="23"/>
        <w:i w:val="false"/>
        <w:b w:val="false"/>
      </w:r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bullet"/>
      <w:lvlText w:val="-"/>
      <w:lvlJc w:val="left"/>
      <w:pPr>
        <w:ind w:left="720" w:hanging="360"/>
      </w:pPr>
      <w:rPr>
        <w:rFonts w:ascii="Courier New" w:hAnsi="Courier New" w:cs="Courier New" w:hint="default"/>
        <w:sz w:val="23"/>
        <w:i w:val="false"/>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6">
    <w:lvl w:ilvl="0">
      <w:start w:val="4"/>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c%1)"/>
      <w:lvlJc w:val="left"/>
      <w:pPr>
        <w:ind w:left="720" w:hanging="360"/>
      </w:pPr>
      <w:rPr>
        <w:sz w:val="20"/>
        <w:i w:val="false"/>
        <w:b w:val="false"/>
        <w:szCs w:val="20"/>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lowerLetter"/>
      <w:lvlText w:val="%1)"/>
      <w:lvlJc w:val="left"/>
      <w:pPr>
        <w:ind w:left="786" w:hanging="360"/>
      </w:pPr>
      <w:rPr>
        <w:sz w:val="23"/>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9">
    <w:lvl w:ilvl="0">
      <w:start w:val="1"/>
      <w:numFmt w:val="lowerLetter"/>
      <w:lvlText w:val="%1)"/>
      <w:lvlJc w:val="left"/>
      <w:pPr>
        <w:ind w:left="1080" w:hanging="360"/>
      </w:pPr>
      <w:rPr>
        <w:sz w:val="23"/>
        <w:i w:val="false"/>
        <w:b w:val="fals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lvl w:ilvl="0">
      <w:start w:val="1"/>
      <w:numFmt w:val="lowerLetter"/>
      <w:lvlText w:val="%1)"/>
      <w:lvlJc w:val="left"/>
      <w:pPr>
        <w:ind w:left="720" w:hanging="360"/>
      </w:pPr>
      <w:rPr>
        <w:sz w:val="23"/>
        <w:i w:val="false"/>
        <w:b w:val="false"/>
      </w:r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bullet"/>
      <w:lvlText w:val=""/>
      <w:lvlJc w:val="left"/>
      <w:pPr>
        <w:tabs>
          <w:tab w:val="num" w:pos="1854"/>
        </w:tabs>
        <w:ind w:left="1854" w:hanging="360"/>
      </w:pPr>
      <w:rPr>
        <w:rFonts w:ascii="Symbol" w:hAnsi="Symbol" w:cs="Symbol" w:hint="default"/>
      </w:rPr>
    </w:lvl>
    <w:lvl w:ilvl="1">
      <w:start w:val="1"/>
      <w:numFmt w:val="bullet"/>
      <w:lvlText w:val="-"/>
      <w:lvlJc w:val="left"/>
      <w:pPr>
        <w:tabs>
          <w:tab w:val="num" w:pos="2574"/>
        </w:tabs>
        <w:ind w:left="2574" w:hanging="360"/>
      </w:pPr>
      <w:rPr>
        <w:rFonts w:ascii="Times New Roman" w:hAnsi="Times New Roman" w:cs="Times New Roman" w:hint="default"/>
        <w:rFonts w:cs="Times New Roman"/>
      </w:rPr>
    </w:lvl>
    <w:lvl w:ilvl="2">
      <w:start w:val="1"/>
      <w:numFmt w:val="bullet"/>
      <w:lvlText w:val=""/>
      <w:lvlJc w:val="left"/>
      <w:pPr>
        <w:tabs>
          <w:tab w:val="num" w:pos="3294"/>
        </w:tabs>
        <w:ind w:left="3294" w:hanging="360"/>
      </w:pPr>
      <w:rPr>
        <w:rFonts w:ascii="Wingdings" w:hAnsi="Wingdings" w:cs="Wingdings" w:hint="default"/>
      </w:rPr>
    </w:lvl>
    <w:lvl w:ilvl="3">
      <w:start w:val="1"/>
      <w:numFmt w:val="bullet"/>
      <w:lvlText w:val=""/>
      <w:lvlJc w:val="left"/>
      <w:pPr>
        <w:tabs>
          <w:tab w:val="num" w:pos="4014"/>
        </w:tabs>
        <w:ind w:left="4014" w:hanging="360"/>
      </w:pPr>
      <w:rPr>
        <w:rFonts w:ascii="Symbol" w:hAnsi="Symbol" w:cs="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cs="Wingdings" w:hint="default"/>
      </w:rPr>
    </w:lvl>
    <w:lvl w:ilvl="6">
      <w:start w:val="1"/>
      <w:numFmt w:val="bullet"/>
      <w:lvlText w:val=""/>
      <w:lvlJc w:val="left"/>
      <w:pPr>
        <w:tabs>
          <w:tab w:val="num" w:pos="6174"/>
        </w:tabs>
        <w:ind w:left="6174" w:hanging="360"/>
      </w:pPr>
      <w:rPr>
        <w:rFonts w:ascii="Symbol" w:hAnsi="Symbol" w:cs="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cs="Wingdings" w:hint="default"/>
      </w:rPr>
    </w:lvl>
  </w:abstractNum>
  <w:abstractNum w:abstractNumId="25">
    <w:lvl w:ilvl="0">
      <w:start w:val="1"/>
      <w:numFmt w:val="decimal"/>
      <w:lvlText w:val="d%1)"/>
      <w:lvlJc w:val="left"/>
      <w:pPr>
        <w:ind w:left="1776" w:hanging="360"/>
      </w:pPr>
      <w:rPr>
        <w:sz w:val="20"/>
        <w:i w:val="false"/>
        <w:b w:val="false"/>
        <w:szCs w:val="20"/>
        <w:color w:val="00000A"/>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6">
    <w:lvl w:ilvl="0">
      <w:start w:val="1"/>
      <w:numFmt w:val="lowerLetter"/>
      <w:lvlText w:val="%1)"/>
      <w:lvlJc w:val="left"/>
      <w:pPr>
        <w:ind w:left="720" w:hanging="360"/>
      </w:pPr>
      <w:rPr>
        <w:sz w:val="23"/>
        <w:i w:val="false"/>
        <w:b w:val="false"/>
      </w:rPr>
    </w:lvl>
    <w:lvl w:ilvl="1">
      <w:start w:val="1"/>
      <w:numFmt w:val="decimal"/>
      <w:lvlText w:val="c%2)"/>
      <w:lvlJc w:val="left"/>
      <w:pPr>
        <w:ind w:left="1440" w:hanging="360"/>
      </w:pPr>
      <w:rPr>
        <w:sz w:val="20"/>
        <w:i w:val="false"/>
        <w:b w:val="false"/>
        <w:color w:val="00000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17"/>
      <w:numFmt w:val="decimal"/>
      <w:lvlText w:val="%1."/>
      <w:lvlJc w:val="left"/>
      <w:pPr>
        <w:ind w:left="360" w:hanging="360"/>
      </w:pPr>
    </w:lvl>
    <w:lvl w:ilvl="1">
      <w:start w:val="1"/>
      <w:numFmt w:val="decimal"/>
      <w:lvlText w:val="%1.%2."/>
      <w:lvlJc w:val="left"/>
      <w:pPr>
        <w:ind w:left="792" w:hanging="432"/>
      </w:pPr>
      <w:rPr>
        <w:b w:val="false"/>
        <w:color w:val="000000"/>
      </w:r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lowerLetter"/>
      <w:lvlText w:val="%1)"/>
      <w:lvlJc w:val="left"/>
      <w:pPr>
        <w:ind w:left="786" w:hanging="360"/>
      </w:pPr>
      <w:rPr>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lvl w:ilvl="0">
      <w:start w:val="1"/>
      <w:numFmt w:val="decimal"/>
      <w:lvlText w:val="%1."/>
      <w:lvlJc w:val="left"/>
      <w:pPr>
        <w:ind w:left="360" w:hanging="360"/>
      </w:pPr>
    </w:lvl>
    <w:lvl w:ilvl="1">
      <w:start w:val="1"/>
      <w:numFmt w:val="decimal"/>
      <w:lvlText w:val="%1.%2."/>
      <w:lvlJc w:val="left"/>
      <w:pPr>
        <w:ind w:left="792" w:hanging="432"/>
      </w:pPr>
      <w:rPr>
        <w:b w:val="false"/>
        <w:color w:val="000000"/>
      </w:r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lvl w:ilvl="0">
      <w:start w:val="1"/>
      <w:numFmt w:val="decimal"/>
      <w:lvlText w:val="%1."/>
      <w:lvlJc w:val="left"/>
      <w:pPr>
        <w:ind w:left="360" w:hanging="360"/>
      </w:pPr>
    </w:lvl>
    <w:lvl w:ilvl="1">
      <w:start w:val="1"/>
      <w:numFmt w:val="decimal"/>
      <w:lvlText w:val="%1.%2."/>
      <w:lvlJc w:val="left"/>
      <w:pPr>
        <w:ind w:left="792" w:hanging="432"/>
      </w:pPr>
      <w:rPr>
        <w:b w:val="false"/>
        <w:color w:val="000000"/>
      </w:r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List Number" w:uiPriority="0"/>
    <w:lsdException w:name="Title" w:uiPriority="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Balloon Text" w:uiPriority="0"/>
    <w:lsdException w:name="Table Grid" w:uiPriority="59" w:semiHidden="0" w:unhideWhenUsed="0"/>
    <w:lsdException w:name="Placeholder Text" w:unhideWhenUsed="0"/>
    <w:lsdException w:name="No Spacing" w:uiPriority="1" w:semiHidden="0" w:unhideWhenUsed="0"/>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0"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f6a9a"/>
    <w:pPr>
      <w:widowControl/>
      <w:bidi w:val="0"/>
      <w:spacing w:lineRule="auto" w:line="240" w:before="0" w:after="0"/>
      <w:jc w:val="both"/>
    </w:pPr>
    <w:rPr>
      <w:rFonts w:ascii="Arial" w:hAnsi="Arial" w:cs="Arial" w:eastAsia="Calibri" w:eastAsiaTheme="minorHAnsi"/>
      <w:color w:val="auto"/>
      <w:sz w:val="20"/>
      <w:szCs w:val="24"/>
      <w:lang w:val="pt-BR" w:eastAsia="en-US" w:bidi="ar-SA"/>
    </w:rPr>
  </w:style>
  <w:style w:type="paragraph" w:styleId="Ttulo1">
    <w:name w:val="Título 1"/>
    <w:next w:val="Normal"/>
    <w:link w:val="Ttulo1Char"/>
    <w:qFormat/>
    <w:rsid w:val="00520828"/>
    <w:pPr>
      <w:widowControl w:val="false"/>
      <w:numPr>
        <w:ilvl w:val="0"/>
        <w:numId w:val="1"/>
      </w:numPr>
      <w:spacing w:lineRule="auto" w:line="276" w:before="0" w:after="200"/>
      <w:outlineLvl w:val="0"/>
      <w:outlineLvl w:val="0"/>
    </w:pPr>
    <w:rPr>
      <w:rFonts w:ascii="Calibri" w:hAnsi="Calibri" w:eastAsia="Calibri" w:cs="" w:asciiTheme="minorHAnsi" w:cstheme="minorBidi" w:eastAsiaTheme="minorHAnsi" w:hAnsiTheme="minorHAnsi"/>
      <w:b/>
      <w:color w:val="auto"/>
      <w:sz w:val="20"/>
      <w:szCs w:val="22"/>
      <w:lang w:val="pt-BR" w:eastAsia="en-US" w:bidi="ar-SA"/>
    </w:rPr>
  </w:style>
  <w:style w:type="paragraph" w:styleId="Ttulo2">
    <w:name w:val="Título 2"/>
    <w:basedOn w:val="Ttulo1"/>
    <w:next w:val="Normal"/>
    <w:link w:val="Ttulo2Char"/>
    <w:unhideWhenUsed/>
    <w:qFormat/>
    <w:rsid w:val="00403602"/>
    <w:pPr>
      <w:numPr>
        <w:ilvl w:val="1"/>
        <w:numId w:val="1"/>
      </w:numPr>
      <w:tabs>
        <w:tab w:val="left" w:pos="851" w:leader="none"/>
      </w:tabs>
      <w:ind w:left="426" w:hanging="0"/>
      <w:outlineLvl w:val="1"/>
      <w:outlineLvl w:val="1"/>
    </w:pPr>
    <w:rPr>
      <w:b w:val="false"/>
      <w:szCs w:val="20"/>
    </w:rPr>
  </w:style>
  <w:style w:type="paragraph" w:styleId="Ttulo3">
    <w:name w:val="Título 3"/>
    <w:basedOn w:val="Ttulo2"/>
    <w:next w:val="Normal"/>
    <w:link w:val="Ttulo3Char"/>
    <w:unhideWhenUsed/>
    <w:qFormat/>
    <w:rsid w:val="003b328a"/>
    <w:pPr>
      <w:numPr>
        <w:ilvl w:val="2"/>
        <w:numId w:val="1"/>
      </w:numPr>
      <w:outlineLvl w:val="2"/>
      <w:outlineLvl w:val="2"/>
    </w:pPr>
    <w:rPr/>
  </w:style>
  <w:style w:type="paragraph" w:styleId="Ttulo4">
    <w:name w:val="Título 4"/>
    <w:basedOn w:val="Ttulo3"/>
    <w:next w:val="Normal"/>
    <w:link w:val="Ttulo4Char"/>
    <w:unhideWhenUsed/>
    <w:qFormat/>
    <w:rsid w:val="00336c8a"/>
    <w:pPr>
      <w:numPr>
        <w:ilvl w:val="3"/>
        <w:numId w:val="1"/>
      </w:numPr>
      <w:ind w:left="1021" w:hanging="1021"/>
      <w:outlineLvl w:val="3"/>
      <w:outlineLvl w:val="3"/>
    </w:pPr>
    <w:rPr/>
  </w:style>
  <w:style w:type="paragraph" w:styleId="Ttulo5">
    <w:name w:val="Título 5"/>
    <w:basedOn w:val="Normal"/>
    <w:next w:val="Normal"/>
    <w:link w:val="Ttulo5Char"/>
    <w:unhideWhenUsed/>
    <w:qFormat/>
    <w:rsid w:val="000159e4"/>
    <w:pPr>
      <w:keepNext/>
      <w:keepLines/>
      <w:spacing w:before="200" w:after="0"/>
      <w:outlineLvl w:val="4"/>
    </w:pPr>
    <w:rPr>
      <w:rFonts w:ascii="Cambria" w:hAnsi="Cambria" w:eastAsia="" w:cs="" w:asciiTheme="majorHAnsi" w:cstheme="majorBidi" w:eastAsiaTheme="majorEastAsia" w:hAnsiTheme="majorHAnsi"/>
      <w:color w:val="243F60" w:themeColor="accent1" w:themeShade="7f"/>
    </w:rPr>
  </w:style>
  <w:style w:type="paragraph" w:styleId="Ttulo6">
    <w:name w:val="Título 6"/>
    <w:basedOn w:val="Normal"/>
    <w:next w:val="Normal"/>
    <w:link w:val="Ttulo6Char"/>
    <w:unhideWhenUsed/>
    <w:qFormat/>
    <w:rsid w:val="000159e4"/>
    <w:pPr>
      <w:keepNext/>
      <w:keepLines/>
      <w:spacing w:before="200" w:after="0"/>
      <w:outlineLvl w:val="5"/>
    </w:pPr>
    <w:rPr>
      <w:rFonts w:ascii="Cambria" w:hAnsi="Cambria" w:eastAsia="" w:cs="" w:asciiTheme="majorHAnsi" w:cstheme="majorBidi" w:eastAsiaTheme="majorEastAsia" w:hAnsiTheme="majorHAnsi"/>
      <w:i/>
      <w:iCs/>
      <w:color w:val="243F60" w:themeColor="accent1" w:themeShade="7f"/>
    </w:rPr>
  </w:style>
  <w:style w:type="paragraph" w:styleId="Ttulo7">
    <w:name w:val="Título 7"/>
    <w:basedOn w:val="Normal"/>
    <w:next w:val="Normal"/>
    <w:link w:val="Ttulo7Char"/>
    <w:qFormat/>
    <w:rsid w:val="00081604"/>
    <w:pPr>
      <w:keepNext/>
      <w:suppressAutoHyphens w:val="true"/>
      <w:ind w:left="1296" w:hanging="1296"/>
      <w:outlineLvl w:val="6"/>
    </w:pPr>
    <w:rPr>
      <w:rFonts w:eastAsia="Times New Roman" w:cs="Times New Roman"/>
      <w:b/>
      <w:bCs/>
      <w:color w:val="FF0000"/>
      <w:sz w:val="22"/>
      <w:szCs w:val="20"/>
      <w:lang w:eastAsia="ar-SA"/>
    </w:rPr>
  </w:style>
  <w:style w:type="paragraph" w:styleId="Ttulo8">
    <w:name w:val="Título 8"/>
    <w:basedOn w:val="Normal"/>
    <w:next w:val="Normal"/>
    <w:link w:val="Ttulo8Char"/>
    <w:qFormat/>
    <w:rsid w:val="00081604"/>
    <w:pPr>
      <w:keepNext/>
      <w:suppressAutoHyphens w:val="true"/>
      <w:spacing w:before="120" w:after="120"/>
      <w:ind w:left="1440" w:hanging="1440"/>
      <w:jc w:val="center"/>
      <w:outlineLvl w:val="7"/>
    </w:pPr>
    <w:rPr>
      <w:rFonts w:eastAsia="Times New Roman" w:cs="Times New Roman"/>
      <w:b/>
      <w:spacing w:val="74"/>
      <w:sz w:val="28"/>
      <w:szCs w:val="20"/>
      <w:lang w:eastAsia="ar-SA"/>
    </w:rPr>
  </w:style>
  <w:style w:type="paragraph" w:styleId="Ttulo9">
    <w:name w:val="Título 9"/>
    <w:basedOn w:val="Normal"/>
    <w:next w:val="Normal"/>
    <w:link w:val="Ttulo9Char"/>
    <w:unhideWhenUsed/>
    <w:qFormat/>
    <w:rsid w:val="00997c6d"/>
    <w:pPr>
      <w:keepNext/>
      <w:keepLines/>
      <w:spacing w:before="200" w:after="0"/>
      <w:outlineLvl w:val="8"/>
    </w:pPr>
    <w:rPr>
      <w:rFonts w:ascii="Cambria" w:hAnsi="Cambria" w:eastAsia="" w:cs="" w:asciiTheme="majorHAnsi" w:cstheme="majorBidi" w:eastAsiaTheme="majorEastAsia" w:hAnsiTheme="majorHAnsi"/>
      <w:i/>
      <w:iCs/>
      <w:color w:val="404040" w:themeColor="text1" w:themeTint="bf"/>
      <w:szCs w:val="20"/>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qFormat/>
    <w:rsid w:val="00520828"/>
    <w:rPr>
      <w:rFonts w:ascii="Arial" w:hAnsi="Arial" w:cs="Arial"/>
      <w:b/>
      <w:sz w:val="20"/>
      <w:szCs w:val="24"/>
    </w:rPr>
  </w:style>
  <w:style w:type="character" w:styleId="Ttulo2Char" w:customStyle="1">
    <w:name w:val="Título 2 Char"/>
    <w:basedOn w:val="DefaultParagraphFont"/>
    <w:link w:val="Ttulo2"/>
    <w:qFormat/>
    <w:rsid w:val="00403602"/>
    <w:rPr>
      <w:rFonts w:ascii="Arial" w:hAnsi="Arial" w:cs="Arial"/>
      <w:sz w:val="20"/>
      <w:szCs w:val="20"/>
    </w:rPr>
  </w:style>
  <w:style w:type="character" w:styleId="Ttulo3Char" w:customStyle="1">
    <w:name w:val="Título 3 Char"/>
    <w:basedOn w:val="DefaultParagraphFont"/>
    <w:link w:val="Ttulo3"/>
    <w:qFormat/>
    <w:rsid w:val="003b328a"/>
    <w:rPr>
      <w:rFonts w:ascii="Arial" w:hAnsi="Arial" w:cs="Arial"/>
      <w:sz w:val="20"/>
      <w:szCs w:val="24"/>
    </w:rPr>
  </w:style>
  <w:style w:type="character" w:styleId="Ttulo4Char" w:customStyle="1">
    <w:name w:val="Título 4 Char"/>
    <w:basedOn w:val="DefaultParagraphFont"/>
    <w:link w:val="Ttulo4"/>
    <w:qFormat/>
    <w:rsid w:val="00336c8a"/>
    <w:rPr>
      <w:rFonts w:ascii="Arial" w:hAnsi="Arial" w:cs="Arial"/>
      <w:sz w:val="20"/>
      <w:szCs w:val="24"/>
    </w:rPr>
  </w:style>
  <w:style w:type="character" w:styleId="Ttulo5Char" w:customStyle="1">
    <w:name w:val="Título 5 Char"/>
    <w:basedOn w:val="DefaultParagraphFont"/>
    <w:link w:val="Ttulo5"/>
    <w:uiPriority w:val="9"/>
    <w:semiHidden/>
    <w:qFormat/>
    <w:rsid w:val="000159e4"/>
    <w:rPr>
      <w:rFonts w:ascii="Cambria" w:hAnsi="Cambria" w:eastAsia="" w:cs="" w:asciiTheme="majorHAnsi" w:cstheme="majorBidi" w:eastAsiaTheme="majorEastAsia" w:hAnsiTheme="majorHAnsi"/>
      <w:color w:val="243F60" w:themeColor="accent1" w:themeShade="7f"/>
      <w:sz w:val="24"/>
      <w:szCs w:val="24"/>
    </w:rPr>
  </w:style>
  <w:style w:type="character" w:styleId="Ttulo6Char" w:customStyle="1">
    <w:name w:val="Título 6 Char"/>
    <w:basedOn w:val="DefaultParagraphFont"/>
    <w:link w:val="Ttulo6"/>
    <w:uiPriority w:val="9"/>
    <w:semiHidden/>
    <w:qFormat/>
    <w:rsid w:val="000159e4"/>
    <w:rPr>
      <w:rFonts w:ascii="Cambria" w:hAnsi="Cambria" w:eastAsia="" w:cs="" w:asciiTheme="majorHAnsi" w:cstheme="majorBidi" w:eastAsiaTheme="majorEastAsia" w:hAnsiTheme="majorHAnsi"/>
      <w:i/>
      <w:iCs/>
      <w:color w:val="243F60" w:themeColor="accent1" w:themeShade="7f"/>
      <w:sz w:val="24"/>
      <w:szCs w:val="24"/>
    </w:rPr>
  </w:style>
  <w:style w:type="character" w:styleId="Ttulo7Char" w:customStyle="1">
    <w:name w:val="Título 7 Char"/>
    <w:basedOn w:val="DefaultParagraphFont"/>
    <w:link w:val="Ttulo7"/>
    <w:qFormat/>
    <w:rsid w:val="00081604"/>
    <w:rPr>
      <w:rFonts w:ascii="Arial" w:hAnsi="Arial" w:eastAsia="Times New Roman" w:cs="Times New Roman"/>
      <w:b/>
      <w:bCs/>
      <w:color w:val="FF0000"/>
      <w:szCs w:val="20"/>
      <w:lang w:eastAsia="ar-SA"/>
    </w:rPr>
  </w:style>
  <w:style w:type="character" w:styleId="Ttulo8Char" w:customStyle="1">
    <w:name w:val="Título 8 Char"/>
    <w:basedOn w:val="DefaultParagraphFont"/>
    <w:link w:val="Ttulo8"/>
    <w:qFormat/>
    <w:rsid w:val="00081604"/>
    <w:rPr>
      <w:rFonts w:ascii="Arial" w:hAnsi="Arial" w:eastAsia="Times New Roman" w:cs="Times New Roman"/>
      <w:b/>
      <w:spacing w:val="74"/>
      <w:sz w:val="28"/>
      <w:szCs w:val="20"/>
      <w:lang w:eastAsia="ar-SA"/>
    </w:rPr>
  </w:style>
  <w:style w:type="character" w:styleId="Ttulo9Char" w:customStyle="1">
    <w:name w:val="Título 9 Char"/>
    <w:basedOn w:val="DefaultParagraphFont"/>
    <w:link w:val="Ttulo9"/>
    <w:uiPriority w:val="9"/>
    <w:semiHidden/>
    <w:qFormat/>
    <w:rsid w:val="00997c6d"/>
    <w:rPr>
      <w:rFonts w:ascii="Cambria" w:hAnsi="Cambria" w:eastAsia="" w:cs="" w:asciiTheme="majorHAnsi" w:cstheme="majorBidi" w:eastAsiaTheme="majorEastAsia" w:hAnsiTheme="majorHAnsi"/>
      <w:i/>
      <w:iCs/>
      <w:color w:val="404040" w:themeColor="text1" w:themeTint="bf"/>
      <w:sz w:val="20"/>
      <w:szCs w:val="20"/>
    </w:rPr>
  </w:style>
  <w:style w:type="character" w:styleId="CabealhoChar" w:customStyle="1">
    <w:name w:val="Cabeçalho Char"/>
    <w:basedOn w:val="DefaultParagraphFont"/>
    <w:link w:val="Cabealho"/>
    <w:qFormat/>
    <w:rsid w:val="00a507e3"/>
    <w:rPr>
      <w:rFonts w:ascii="Arial" w:hAnsi="Arial" w:cs="Arial"/>
      <w:sz w:val="24"/>
      <w:szCs w:val="24"/>
    </w:rPr>
  </w:style>
  <w:style w:type="character" w:styleId="RodapChar" w:customStyle="1">
    <w:name w:val="Rodapé Char"/>
    <w:basedOn w:val="DefaultParagraphFont"/>
    <w:link w:val="Rodap"/>
    <w:uiPriority w:val="99"/>
    <w:qFormat/>
    <w:rsid w:val="00a507e3"/>
    <w:rPr>
      <w:rFonts w:ascii="Arial" w:hAnsi="Arial" w:cs="Arial"/>
      <w:sz w:val="24"/>
      <w:szCs w:val="24"/>
    </w:rPr>
  </w:style>
  <w:style w:type="character" w:styleId="TextodebaloChar" w:customStyle="1">
    <w:name w:val="Texto de balão Char"/>
    <w:basedOn w:val="DefaultParagraphFont"/>
    <w:link w:val="Textodebalo"/>
    <w:uiPriority w:val="99"/>
    <w:semiHidden/>
    <w:qFormat/>
    <w:rsid w:val="00a507e3"/>
    <w:rPr>
      <w:rFonts w:ascii="Tahoma" w:hAnsi="Tahoma" w:cs="Tahoma"/>
      <w:sz w:val="16"/>
      <w:szCs w:val="16"/>
    </w:rPr>
  </w:style>
  <w:style w:type="character" w:styleId="LinkdaInternet">
    <w:name w:val="Link da Internet"/>
    <w:basedOn w:val="DefaultParagraphFont"/>
    <w:uiPriority w:val="99"/>
    <w:unhideWhenUsed/>
    <w:rsid w:val="000e68bd"/>
    <w:rPr>
      <w:color w:val="0000FF" w:themeColor="hyperlink"/>
      <w:u w:val="single"/>
    </w:rPr>
  </w:style>
  <w:style w:type="character" w:styleId="CorpodetextoChar" w:customStyle="1">
    <w:name w:val="Corpo de texto Char"/>
    <w:basedOn w:val="DefaultParagraphFont"/>
    <w:link w:val="Corpodetexto"/>
    <w:semiHidden/>
    <w:qFormat/>
    <w:rsid w:val="00997c6d"/>
    <w:rPr>
      <w:rFonts w:ascii="Times New Roman" w:hAnsi="Times New Roman" w:eastAsia="Times New Roman" w:cs="Times New Roman"/>
      <w:b/>
      <w:i/>
      <w:color w:val="000000"/>
      <w:sz w:val="20"/>
      <w:szCs w:val="20"/>
      <w:lang w:val="pt-PT"/>
    </w:rPr>
  </w:style>
  <w:style w:type="character" w:styleId="TtuloChar" w:customStyle="1">
    <w:name w:val="Título Char"/>
    <w:basedOn w:val="DefaultParagraphFont"/>
    <w:link w:val="Ttulo"/>
    <w:qFormat/>
    <w:rsid w:val="00cf6a9a"/>
    <w:rPr>
      <w:rFonts w:ascii="Arial" w:hAnsi="Arial" w:eastAsia="Times New Roman" w:cs="Arial"/>
      <w:b/>
      <w:bCs/>
      <w:sz w:val="28"/>
      <w:szCs w:val="32"/>
      <w:lang w:eastAsia="pt-BR"/>
    </w:rPr>
  </w:style>
  <w:style w:type="character" w:styleId="TextodenotaderodapChar" w:customStyle="1">
    <w:name w:val="Texto de nota de rodapé Char"/>
    <w:basedOn w:val="DefaultParagraphFont"/>
    <w:link w:val="Textodenotaderodap"/>
    <w:semiHidden/>
    <w:qFormat/>
    <w:rsid w:val="00997c6d"/>
    <w:rPr>
      <w:rFonts w:ascii="Times New Roman" w:hAnsi="Times New Roman" w:eastAsia="Times New Roman" w:cs="Times New Roman"/>
      <w:sz w:val="24"/>
      <w:szCs w:val="20"/>
      <w:lang w:eastAsia="pt-BR"/>
    </w:rPr>
  </w:style>
  <w:style w:type="character" w:styleId="RecuodecorpodetextoChar" w:customStyle="1">
    <w:name w:val="Recuo de corpo de texto Char"/>
    <w:basedOn w:val="DefaultParagraphFont"/>
    <w:link w:val="Recuodecorpodetexto"/>
    <w:uiPriority w:val="99"/>
    <w:semiHidden/>
    <w:qFormat/>
    <w:rsid w:val="00a470cc"/>
    <w:rPr>
      <w:rFonts w:ascii="Arial" w:hAnsi="Arial" w:cs="Arial"/>
      <w:sz w:val="24"/>
      <w:szCs w:val="24"/>
    </w:rPr>
  </w:style>
  <w:style w:type="character" w:styleId="PlaceholderText">
    <w:name w:val="Placeholder Text"/>
    <w:basedOn w:val="DefaultParagraphFont"/>
    <w:uiPriority w:val="99"/>
    <w:semiHidden/>
    <w:qFormat/>
    <w:rsid w:val="00b34162"/>
    <w:rPr>
      <w:color w:val="808080"/>
    </w:rPr>
  </w:style>
  <w:style w:type="character" w:styleId="Appleconvertedspace" w:customStyle="1">
    <w:name w:val="apple-converted-space"/>
    <w:basedOn w:val="DefaultParagraphFont"/>
    <w:qFormat/>
    <w:rsid w:val="00e16873"/>
    <w:rPr/>
  </w:style>
  <w:style w:type="character" w:styleId="Recuodecorpodetexto2Char" w:customStyle="1">
    <w:name w:val="Recuo de corpo de texto 2 Char"/>
    <w:basedOn w:val="DefaultParagraphFont"/>
    <w:link w:val="Recuodecorpodetexto2"/>
    <w:uiPriority w:val="99"/>
    <w:semiHidden/>
    <w:qFormat/>
    <w:rsid w:val="00d52efe"/>
    <w:rPr>
      <w:rFonts w:ascii="Arial" w:hAnsi="Arial" w:cs="Arial"/>
      <w:sz w:val="20"/>
      <w:szCs w:val="24"/>
    </w:rPr>
  </w:style>
  <w:style w:type="character" w:styleId="WW8Num4z0" w:customStyle="1">
    <w:name w:val="WW8Num4z0"/>
    <w:qFormat/>
    <w:rsid w:val="002a61fd"/>
    <w:rPr>
      <w:b w:val="false"/>
      <w:i w:val="false"/>
    </w:rPr>
  </w:style>
  <w:style w:type="character" w:styleId="AbsatzStandardschriftart" w:customStyle="1">
    <w:name w:val="Absatz-Standardschriftart"/>
    <w:qFormat/>
    <w:rsid w:val="00312ea1"/>
    <w:rPr/>
  </w:style>
  <w:style w:type="character" w:styleId="CitaoChar" w:customStyle="1">
    <w:name w:val="Citação Char"/>
    <w:basedOn w:val="DefaultParagraphFont"/>
    <w:link w:val="Citao"/>
    <w:qFormat/>
    <w:rsid w:val="006b02ae"/>
    <w:rPr>
      <w:rFonts w:ascii="Ecofont_Spranq_eco_Sans" w:hAnsi="Ecofont_Spranq_eco_Sans" w:eastAsia="Calibri" w:cs="Tahoma"/>
      <w:i/>
      <w:iCs/>
      <w:color w:val="000000"/>
      <w:sz w:val="20"/>
      <w:szCs w:val="24"/>
      <w:shd w:fill="FFFFCC" w:val="clear"/>
    </w:rPr>
  </w:style>
  <w:style w:type="character" w:styleId="Footnotereference">
    <w:name w:val="footnote reference"/>
    <w:semiHidden/>
    <w:unhideWhenUsed/>
    <w:qFormat/>
    <w:rsid w:val="00971b2e"/>
    <w:rPr>
      <w:vertAlign w:val="superscript"/>
    </w:rPr>
  </w:style>
  <w:style w:type="character" w:styleId="ListLabel1">
    <w:name w:val="ListLabel 1"/>
    <w:qFormat/>
    <w:rPr>
      <w:b w:val="false"/>
      <w:color w:val="000000"/>
    </w:rPr>
  </w:style>
  <w:style w:type="character" w:styleId="ListLabel2">
    <w:name w:val="ListLabel 2"/>
    <w:qFormat/>
    <w:rPr>
      <w:color w:val="00000A"/>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b w:val="false"/>
      <w:i w:val="false"/>
      <w:sz w:val="23"/>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b w:val="false"/>
      <w:i w:val="false"/>
      <w:sz w:val="23"/>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b w:val="false"/>
      <w:i w:val="false"/>
      <w:sz w:val="23"/>
    </w:rPr>
  </w:style>
  <w:style w:type="character" w:styleId="ListLabel24">
    <w:name w:val="ListLabel 24"/>
    <w:qFormat/>
    <w:rPr>
      <w:b w:val="false"/>
      <w:i w:val="false"/>
      <w:sz w:val="23"/>
    </w:rPr>
  </w:style>
  <w:style w:type="character" w:styleId="ListLabel25">
    <w:name w:val="ListLabel 25"/>
    <w:qFormat/>
    <w:rPr>
      <w:b w:val="false"/>
      <w:i w:val="false"/>
      <w:sz w:val="23"/>
    </w:rPr>
  </w:style>
  <w:style w:type="character" w:styleId="ListLabel26">
    <w:name w:val="ListLabel 26"/>
    <w:qFormat/>
    <w:rPr>
      <w:b w:val="false"/>
      <w:i w:val="false"/>
      <w:sz w:val="23"/>
    </w:rPr>
  </w:style>
  <w:style w:type="character" w:styleId="ListLabel27">
    <w:name w:val="ListLabel 27"/>
    <w:qFormat/>
    <w:rPr>
      <w:b w:val="false"/>
      <w:i w:val="false"/>
      <w:sz w:val="23"/>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b w:val="false"/>
      <w:i w:val="false"/>
      <w:sz w:val="23"/>
    </w:rPr>
  </w:style>
  <w:style w:type="character" w:styleId="ListLabel32">
    <w:name w:val="ListLabel 32"/>
    <w:qFormat/>
    <w:rPr>
      <w:b w:val="false"/>
      <w:i w:val="false"/>
      <w:color w:val="00000A"/>
      <w:sz w:val="20"/>
      <w:szCs w:val="20"/>
    </w:rPr>
  </w:style>
  <w:style w:type="character" w:styleId="ListLabel33">
    <w:name w:val="ListLabel 33"/>
    <w:qFormat/>
    <w:rPr>
      <w:sz w:val="23"/>
    </w:rPr>
  </w:style>
  <w:style w:type="character" w:styleId="ListLabel34">
    <w:name w:val="ListLabel 34"/>
    <w:qFormat/>
    <w:rPr>
      <w:b w:val="false"/>
      <w:i w:val="false"/>
      <w:sz w:val="23"/>
    </w:rPr>
  </w:style>
  <w:style w:type="character" w:styleId="ListLabel35">
    <w:name w:val="ListLabel 35"/>
    <w:qFormat/>
    <w:rPr>
      <w:b w:val="false"/>
      <w:i w:val="false"/>
      <w:sz w:val="23"/>
    </w:rPr>
  </w:style>
  <w:style w:type="character" w:styleId="ListLabel36">
    <w:name w:val="ListLabel 36"/>
    <w:qFormat/>
    <w:rPr>
      <w:b w:val="false"/>
      <w:i w:val="false"/>
      <w:sz w:val="23"/>
    </w:rPr>
  </w:style>
  <w:style w:type="character" w:styleId="ListLabel37">
    <w:name w:val="ListLabel 37"/>
    <w:qFormat/>
    <w:rPr>
      <w:b w:val="false"/>
      <w:i w:val="false"/>
      <w:sz w:val="23"/>
    </w:rPr>
  </w:style>
  <w:style w:type="character" w:styleId="ListLabel38">
    <w:name w:val="ListLabel 38"/>
    <w:qFormat/>
    <w:rPr>
      <w:b w:val="false"/>
      <w:i w:val="false"/>
      <w:sz w:val="23"/>
    </w:rPr>
  </w:style>
  <w:style w:type="character" w:styleId="ListLabel39">
    <w:name w:val="ListLabel 39"/>
    <w:qFormat/>
    <w:rPr>
      <w:rFonts w:cs="Times New Roman"/>
    </w:rPr>
  </w:style>
  <w:style w:type="character" w:styleId="ListLabel40">
    <w:name w:val="ListLabel 40"/>
    <w:qFormat/>
    <w:rPr>
      <w:b w:val="false"/>
      <w:i w:val="false"/>
      <w:color w:val="00000A"/>
      <w:sz w:val="20"/>
      <w:szCs w:val="20"/>
    </w:rPr>
  </w:style>
  <w:style w:type="character" w:styleId="ListLabel41">
    <w:name w:val="ListLabel 41"/>
    <w:qFormat/>
    <w:rPr>
      <w:b w:val="false"/>
      <w:i w:val="false"/>
      <w:sz w:val="23"/>
    </w:rPr>
  </w:style>
  <w:style w:type="character" w:styleId="ListLabel42">
    <w:name w:val="ListLabel 42"/>
    <w:qFormat/>
    <w:rPr>
      <w:b w:val="false"/>
      <w:i w:val="false"/>
      <w:color w:val="00000A"/>
      <w:sz w:val="20"/>
    </w:rPr>
  </w:style>
  <w:style w:type="character" w:styleId="ListLabel43">
    <w:name w:val="ListLabel 43"/>
    <w:qFormat/>
    <w:rPr>
      <w:b w:val="false"/>
      <w:color w:val="000000"/>
    </w:rPr>
  </w:style>
  <w:style w:type="character" w:styleId="ListLabel44">
    <w:name w:val="ListLabel 44"/>
    <w:qFormat/>
    <w:rPr>
      <w:color w:val="00000A"/>
    </w:rPr>
  </w:style>
  <w:style w:type="character" w:styleId="ListLabel45">
    <w:name w:val="ListLabel 45"/>
    <w:qFormat/>
    <w:rPr>
      <w:sz w:val="23"/>
    </w:rPr>
  </w:style>
  <w:style w:type="character" w:styleId="ListLabel46">
    <w:name w:val="ListLabel 46"/>
    <w:qFormat/>
    <w:rPr>
      <w:b w:val="false"/>
      <w:color w:val="000000"/>
    </w:rPr>
  </w:style>
  <w:style w:type="character" w:styleId="ListLabel47">
    <w:name w:val="ListLabel 47"/>
    <w:qFormat/>
    <w:rPr>
      <w:color w:val="00000A"/>
    </w:rPr>
  </w:style>
  <w:style w:type="character" w:styleId="ListLabel48">
    <w:name w:val="ListLabel 48"/>
    <w:qFormat/>
    <w:rPr>
      <w:b w:val="false"/>
      <w:color w:val="000000"/>
    </w:rPr>
  </w:style>
  <w:style w:type="character" w:styleId="ListLabel49">
    <w:name w:val="ListLabel 49"/>
    <w:qFormat/>
    <w:rPr>
      <w:color w:val="00000A"/>
    </w:rPr>
  </w:style>
  <w:style w:type="character" w:styleId="ListLabel50">
    <w:name w:val="ListLabel 50"/>
    <w:qFormat/>
    <w:rPr>
      <w:b w:val="false"/>
      <w:color w:val="000000"/>
    </w:rPr>
  </w:style>
  <w:style w:type="character" w:styleId="ListLabel51">
    <w:name w:val="ListLabel 51"/>
    <w:qFormat/>
    <w:rPr>
      <w:color w:val="00000A"/>
    </w:rPr>
  </w:style>
  <w:style w:type="character" w:styleId="ListLabel52">
    <w:name w:val="ListLabel 52"/>
    <w:qFormat/>
    <w:rPr>
      <w:b w:val="false"/>
      <w:color w:val="000000"/>
    </w:rPr>
  </w:style>
  <w:style w:type="character" w:styleId="ListLabel53">
    <w:name w:val="ListLabel 53"/>
    <w:qFormat/>
    <w:rPr>
      <w:color w:val="00000A"/>
    </w:rPr>
  </w:style>
  <w:style w:type="character" w:styleId="ListLabel54">
    <w:name w:val="ListLabel 54"/>
    <w:qFormat/>
    <w:rPr>
      <w:b w:val="false"/>
      <w:color w:val="000000"/>
    </w:rPr>
  </w:style>
  <w:style w:type="character" w:styleId="ListLabel55">
    <w:name w:val="ListLabel 55"/>
    <w:qFormat/>
    <w:rPr>
      <w:color w:val="00000A"/>
    </w:rPr>
  </w:style>
  <w:style w:type="character" w:styleId="Vnculodendice">
    <w:name w:val="Vínculo de índice"/>
    <w:qFormat/>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Corpo de texto"/>
    <w:basedOn w:val="Normal"/>
    <w:link w:val="CorpodetextoChar"/>
    <w:semiHidden/>
    <w:rsid w:val="00997c6d"/>
    <w:pPr>
      <w:suppressAutoHyphens w:val="true"/>
      <w:jc w:val="center"/>
    </w:pPr>
    <w:rPr>
      <w:rFonts w:ascii="Times New Roman" w:hAnsi="Times New Roman" w:eastAsia="Times New Roman" w:cs="Times New Roman"/>
      <w:b/>
      <w:i/>
      <w:color w:val="000000"/>
      <w:szCs w:val="20"/>
      <w:lang w:val="pt-PT"/>
    </w:rPr>
  </w:style>
  <w:style w:type="paragraph" w:styleId="Lista">
    <w:name w:val="Lista"/>
    <w:basedOn w:val="Corpodetexto"/>
    <w:pPr/>
    <w:rPr>
      <w:rFonts w:cs="Mangal"/>
    </w:rPr>
  </w:style>
  <w:style w:type="paragraph" w:styleId="Legenda">
    <w:name w:val="Legenda"/>
    <w:basedOn w:val="Normal"/>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ListParagraph">
    <w:name w:val="List Paragraph"/>
    <w:basedOn w:val="Normal"/>
    <w:qFormat/>
    <w:rsid w:val="00713a43"/>
    <w:pPr>
      <w:spacing w:before="0" w:after="0"/>
      <w:contextualSpacing/>
    </w:pPr>
    <w:rPr/>
  </w:style>
  <w:style w:type="paragraph" w:styleId="Cabealho">
    <w:name w:val="Cabeçalho"/>
    <w:basedOn w:val="Normal"/>
    <w:link w:val="CabealhoChar"/>
    <w:unhideWhenUsed/>
    <w:rsid w:val="00a507e3"/>
    <w:pPr>
      <w:tabs>
        <w:tab w:val="center" w:pos="4252" w:leader="none"/>
        <w:tab w:val="right" w:pos="8504" w:leader="none"/>
      </w:tabs>
    </w:pPr>
    <w:rPr/>
  </w:style>
  <w:style w:type="paragraph" w:styleId="Rodap">
    <w:name w:val="Rodapé"/>
    <w:basedOn w:val="Normal"/>
    <w:link w:val="RodapChar"/>
    <w:uiPriority w:val="99"/>
    <w:unhideWhenUsed/>
    <w:rsid w:val="00a507e3"/>
    <w:pPr>
      <w:tabs>
        <w:tab w:val="center" w:pos="4252" w:leader="none"/>
        <w:tab w:val="right" w:pos="8504" w:leader="none"/>
      </w:tabs>
    </w:pPr>
    <w:rPr/>
  </w:style>
  <w:style w:type="paragraph" w:styleId="BalloonText">
    <w:name w:val="Balloon Text"/>
    <w:basedOn w:val="Normal"/>
    <w:link w:val="TextodebaloChar"/>
    <w:unhideWhenUsed/>
    <w:qFormat/>
    <w:rsid w:val="00a507e3"/>
    <w:pPr/>
    <w:rPr>
      <w:rFonts w:ascii="Tahoma" w:hAnsi="Tahoma" w:cs="Tahoma"/>
      <w:sz w:val="16"/>
      <w:szCs w:val="16"/>
    </w:rPr>
  </w:style>
  <w:style w:type="paragraph" w:styleId="Caption">
    <w:name w:val="caption"/>
    <w:basedOn w:val="Normal"/>
    <w:next w:val="Normal"/>
    <w:uiPriority w:val="35"/>
    <w:unhideWhenUsed/>
    <w:qFormat/>
    <w:rsid w:val="00123c9f"/>
    <w:pPr>
      <w:jc w:val="center"/>
    </w:pPr>
    <w:rPr>
      <w:rFonts w:ascii="Arial Negrito" w:hAnsi="Arial Negrito"/>
      <w:b/>
      <w:bCs/>
      <w:szCs w:val="18"/>
    </w:rPr>
  </w:style>
  <w:style w:type="paragraph" w:styleId="ListNumber">
    <w:name w:val="List Number"/>
    <w:basedOn w:val="Normal"/>
    <w:semiHidden/>
    <w:qFormat/>
    <w:rsid w:val="00184943"/>
    <w:pPr>
      <w:keepNext/>
      <w:tabs>
        <w:tab w:val="left" w:pos="1474" w:leader="none"/>
      </w:tabs>
      <w:spacing w:before="0" w:after="60"/>
      <w:ind w:left="1474" w:hanging="459"/>
    </w:pPr>
    <w:rPr>
      <w:rFonts w:ascii="Times New Roman" w:hAnsi="Times New Roman" w:eastAsia="Times New Roman" w:cs="Times New Roman"/>
      <w:szCs w:val="20"/>
      <w:lang w:eastAsia="pt-BR"/>
    </w:rPr>
  </w:style>
  <w:style w:type="paragraph" w:styleId="OmniPage1794" w:customStyle="1">
    <w:name w:val="OmniPage #1794"/>
    <w:qFormat/>
    <w:rsid w:val="00d2721b"/>
    <w:pPr>
      <w:widowControl/>
      <w:tabs>
        <w:tab w:val="left" w:pos="484" w:leader="none"/>
        <w:tab w:val="right" w:pos="8149" w:leader="none"/>
      </w:tabs>
      <w:bidi w:val="0"/>
      <w:spacing w:lineRule="exact" w:line="352" w:before="0" w:after="0"/>
      <w:jc w:val="left"/>
    </w:pPr>
    <w:rPr>
      <w:rFonts w:ascii="Times New Roman" w:hAnsi="Times New Roman" w:eastAsia="Times New Roman" w:cs="Times New Roman"/>
      <w:color w:val="auto"/>
      <w:sz w:val="24"/>
      <w:szCs w:val="20"/>
      <w:lang w:val="en-US" w:eastAsia="pt-BR" w:bidi="ar-SA"/>
    </w:rPr>
  </w:style>
  <w:style w:type="paragraph" w:styleId="Padro" w:customStyle="1">
    <w:name w:val="Padrão"/>
    <w:qFormat/>
    <w:rsid w:val="00d2721b"/>
    <w:pPr>
      <w:widowControl/>
      <w:tabs>
        <w:tab w:val="left" w:pos="709" w:leader="none"/>
      </w:tabs>
      <w:suppressAutoHyphens w:val="true"/>
      <w:bidi w:val="0"/>
      <w:spacing w:lineRule="auto" w:line="276" w:before="0" w:after="200"/>
      <w:jc w:val="left"/>
    </w:pPr>
    <w:rPr>
      <w:rFonts w:ascii="Calibri" w:hAnsi="Calibri" w:eastAsia="Times New Roman" w:cs="Times New Roman"/>
      <w:color w:val="00000A"/>
      <w:sz w:val="20"/>
      <w:szCs w:val="20"/>
      <w:lang w:eastAsia="zh-CN" w:val="pt-BR" w:bidi="ar-SA"/>
    </w:rPr>
  </w:style>
  <w:style w:type="paragraph" w:styleId="PargrafodaLista1" w:customStyle="1">
    <w:name w:val="Parágrafo da Lista1"/>
    <w:basedOn w:val="Normal"/>
    <w:qFormat/>
    <w:rsid w:val="00d2721b"/>
    <w:pPr>
      <w:spacing w:lineRule="auto" w:line="360" w:before="120" w:after="120"/>
      <w:ind w:left="720" w:hanging="0"/>
    </w:pPr>
    <w:rPr>
      <w:rFonts w:eastAsia="Times New Roman"/>
    </w:rPr>
  </w:style>
  <w:style w:type="paragraph" w:styleId="Item" w:customStyle="1">
    <w:name w:val="Item"/>
    <w:basedOn w:val="Padro"/>
    <w:qFormat/>
    <w:rsid w:val="00d2721b"/>
    <w:pPr/>
    <w:rPr>
      <w:rFonts w:ascii="Arial" w:hAnsi="Arial" w:cs="Arial"/>
      <w:b/>
      <w:bCs/>
      <w:sz w:val="24"/>
      <w:szCs w:val="24"/>
      <w:u w:val="single"/>
    </w:rPr>
  </w:style>
  <w:style w:type="paragraph" w:styleId="Sumrio1">
    <w:name w:val="Sumário 1"/>
    <w:basedOn w:val="Normal"/>
    <w:next w:val="Normal"/>
    <w:autoRedefine/>
    <w:uiPriority w:val="39"/>
    <w:unhideWhenUsed/>
    <w:rsid w:val="00a13fc0"/>
    <w:pPr>
      <w:tabs>
        <w:tab w:val="left" w:pos="660" w:leader="none"/>
        <w:tab w:val="right" w:pos="9061" w:leader="dot"/>
      </w:tabs>
      <w:spacing w:lineRule="auto" w:line="360"/>
    </w:pPr>
    <w:rPr>
      <w:szCs w:val="20"/>
    </w:rPr>
  </w:style>
  <w:style w:type="paragraph" w:styleId="Tableoffigures">
    <w:name w:val="table of figures"/>
    <w:basedOn w:val="Normal"/>
    <w:next w:val="Normal"/>
    <w:uiPriority w:val="99"/>
    <w:unhideWhenUsed/>
    <w:qFormat/>
    <w:rsid w:val="000a7723"/>
    <w:pPr/>
    <w:rPr/>
  </w:style>
  <w:style w:type="paragraph" w:styleId="Corpodetexto31" w:customStyle="1">
    <w:name w:val="Corpo de texto 31"/>
    <w:basedOn w:val="Normal"/>
    <w:qFormat/>
    <w:rsid w:val="00997c6d"/>
    <w:pPr>
      <w:suppressAutoHyphens w:val="true"/>
      <w:spacing w:lineRule="exact" w:line="270"/>
    </w:pPr>
    <w:rPr>
      <w:rFonts w:eastAsia="Times New Roman" w:cs="Times New Roman"/>
      <w:szCs w:val="20"/>
      <w:lang w:eastAsia="ar-SA"/>
    </w:rPr>
  </w:style>
  <w:style w:type="paragraph" w:styleId="FRPARAGRAFOTITULOFOLHAROSTO" w:customStyle="1">
    <w:name w:val="FR-PARAGRAFO TITULO FOLHA ROSTO"/>
    <w:qFormat/>
    <w:rsid w:val="00997c6d"/>
    <w:pPr>
      <w:widowControl/>
      <w:suppressAutoHyphens w:val="true"/>
      <w:bidi w:val="0"/>
      <w:spacing w:lineRule="exact" w:line="480" w:before="4600" w:after="200"/>
      <w:jc w:val="center"/>
    </w:pPr>
    <w:rPr>
      <w:rFonts w:ascii="Calibri" w:hAnsi="Calibri" w:eastAsia="Arial" w:cs="Times New Roman" w:asciiTheme="minorHAnsi" w:hAnsiTheme="minorHAnsi"/>
      <w:b/>
      <w:caps/>
      <w:color w:val="auto"/>
      <w:sz w:val="28"/>
      <w:szCs w:val="22"/>
      <w:lang w:eastAsia="ar-SA" w:val="pt-BR" w:bidi="ar-SA"/>
    </w:rPr>
  </w:style>
  <w:style w:type="paragraph" w:styleId="Xl66" w:customStyle="1">
    <w:name w:val="xl66"/>
    <w:basedOn w:val="Normal"/>
    <w:qFormat/>
    <w:rsid w:val="00997c6d"/>
    <w:pPr>
      <w:spacing w:lineRule="auto" w:line="276" w:before="100" w:after="100"/>
      <w:jc w:val="left"/>
      <w:textAlignment w:val="center"/>
    </w:pPr>
    <w:rPr>
      <w:rFonts w:eastAsia="Calibri"/>
      <w:sz w:val="16"/>
      <w:szCs w:val="16"/>
      <w:lang w:eastAsia="pt-BR"/>
    </w:rPr>
  </w:style>
  <w:style w:type="paragraph" w:styleId="Ttulododocumento">
    <w:name w:val="Título do documento"/>
    <w:basedOn w:val="Normal"/>
    <w:link w:val="TtuloChar"/>
    <w:qFormat/>
    <w:rsid w:val="00cf6a9a"/>
    <w:pPr>
      <w:spacing w:before="240" w:after="60"/>
      <w:jc w:val="center"/>
      <w:outlineLvl w:val="0"/>
    </w:pPr>
    <w:rPr>
      <w:rFonts w:eastAsia="Times New Roman"/>
      <w:b/>
      <w:bCs/>
      <w:sz w:val="28"/>
      <w:szCs w:val="32"/>
      <w:lang w:eastAsia="pt-BR"/>
    </w:rPr>
  </w:style>
  <w:style w:type="paragraph" w:styleId="Footnotetext">
    <w:name w:val="footnote text"/>
    <w:basedOn w:val="Normal"/>
    <w:link w:val="TextodenotaderodapChar"/>
    <w:semiHidden/>
    <w:qFormat/>
    <w:rsid w:val="00997c6d"/>
    <w:pPr>
      <w:jc w:val="left"/>
    </w:pPr>
    <w:rPr>
      <w:rFonts w:ascii="Times New Roman" w:hAnsi="Times New Roman" w:eastAsia="Times New Roman" w:cs="Times New Roman"/>
      <w:szCs w:val="20"/>
      <w:lang w:eastAsia="pt-BR"/>
    </w:rPr>
  </w:style>
  <w:style w:type="paragraph" w:styleId="Default" w:customStyle="1">
    <w:name w:val="Default"/>
    <w:qFormat/>
    <w:rsid w:val="00997c6d"/>
    <w:pPr>
      <w:widowControl w:val="false"/>
      <w:bidi w:val="0"/>
      <w:spacing w:lineRule="auto" w:line="240" w:before="0" w:after="0"/>
      <w:jc w:val="left"/>
    </w:pPr>
    <w:rPr>
      <w:rFonts w:ascii="Times New Roman PS" w:hAnsi="Times New Roman PS" w:eastAsia="Times New Roman" w:cs="Times New Roman"/>
      <w:color w:val="000000"/>
      <w:sz w:val="24"/>
      <w:szCs w:val="24"/>
      <w:lang w:eastAsia="pt-BR" w:val="pt-BR" w:bidi="ar-SA"/>
    </w:rPr>
  </w:style>
  <w:style w:type="paragraph" w:styleId="PargrafodaLista2" w:customStyle="1">
    <w:name w:val="Parágrafo da Lista2"/>
    <w:basedOn w:val="Normal"/>
    <w:qFormat/>
    <w:rsid w:val="007473ee"/>
    <w:pPr>
      <w:spacing w:lineRule="auto" w:line="360" w:before="120" w:after="120"/>
      <w:ind w:left="720" w:hanging="0"/>
    </w:pPr>
    <w:rPr>
      <w:rFonts w:eastAsia="Times New Roman"/>
    </w:rPr>
  </w:style>
  <w:style w:type="paragraph" w:styleId="Xl77" w:customStyle="1">
    <w:name w:val="xl77"/>
    <w:basedOn w:val="Normal"/>
    <w:qFormat/>
    <w:rsid w:val="007473ee"/>
    <w:pPr>
      <w:pBdr>
        <w:left w:val="single" w:sz="4" w:space="0" w:color="00000A"/>
        <w:bottom w:val="single" w:sz="4" w:space="0" w:color="00000A"/>
      </w:pBdr>
      <w:spacing w:beforeAutospacing="1" w:afterAutospacing="1"/>
      <w:jc w:val="center"/>
      <w:textAlignment w:val="top"/>
    </w:pPr>
    <w:rPr>
      <w:rFonts w:eastAsia="Arial Unicode MS"/>
      <w:b/>
      <w:bCs/>
      <w:lang w:eastAsia="pt-BR"/>
    </w:rPr>
  </w:style>
  <w:style w:type="paragraph" w:styleId="Corpodetextorecuado">
    <w:name w:val="Corpo de texto recuado"/>
    <w:basedOn w:val="Normal"/>
    <w:link w:val="RecuodecorpodetextoChar"/>
    <w:uiPriority w:val="99"/>
    <w:semiHidden/>
    <w:unhideWhenUsed/>
    <w:rsid w:val="00a470cc"/>
    <w:pPr>
      <w:spacing w:before="0" w:after="120"/>
      <w:ind w:left="283" w:hanging="0"/>
    </w:pPr>
    <w:rPr/>
  </w:style>
  <w:style w:type="paragraph" w:styleId="BodyTextIndent2">
    <w:name w:val="Body Text Indent 2"/>
    <w:basedOn w:val="Normal"/>
    <w:link w:val="Recuodecorpodetexto2Char"/>
    <w:uiPriority w:val="99"/>
    <w:semiHidden/>
    <w:unhideWhenUsed/>
    <w:qFormat/>
    <w:rsid w:val="00d52efe"/>
    <w:pPr>
      <w:spacing w:lineRule="auto" w:line="480" w:before="0" w:after="120"/>
      <w:ind w:left="283" w:hanging="0"/>
    </w:pPr>
    <w:rPr/>
  </w:style>
  <w:style w:type="paragraph" w:styleId="NormalWeb">
    <w:name w:val="Normal (Web)"/>
    <w:basedOn w:val="Normal"/>
    <w:uiPriority w:val="99"/>
    <w:unhideWhenUsed/>
    <w:qFormat/>
    <w:rsid w:val="00566459"/>
    <w:pPr>
      <w:spacing w:beforeAutospacing="1" w:afterAutospacing="1"/>
      <w:jc w:val="left"/>
    </w:pPr>
    <w:rPr>
      <w:rFonts w:ascii="Times New Roman" w:hAnsi="Times New Roman" w:eastAsia="Times New Roman" w:cs="Times New Roman"/>
      <w:sz w:val="24"/>
      <w:lang w:eastAsia="pt-BR"/>
    </w:rPr>
  </w:style>
  <w:style w:type="paragraph" w:styleId="Artigo" w:customStyle="1">
    <w:name w:val="artigo"/>
    <w:basedOn w:val="Normal"/>
    <w:qFormat/>
    <w:rsid w:val="00ff2e0d"/>
    <w:pPr>
      <w:spacing w:beforeAutospacing="1" w:afterAutospacing="1"/>
      <w:jc w:val="left"/>
    </w:pPr>
    <w:rPr>
      <w:rFonts w:ascii="Times New Roman" w:hAnsi="Times New Roman" w:eastAsia="Times New Roman" w:cs="Times New Roman"/>
      <w:sz w:val="24"/>
      <w:lang w:eastAsia="pt-BR"/>
    </w:rPr>
  </w:style>
  <w:style w:type="paragraph" w:styleId="PT" w:customStyle="1">
    <w:name w:val="PT"/>
    <w:basedOn w:val="Normal"/>
    <w:qFormat/>
    <w:rsid w:val="00e432d0"/>
    <w:pPr>
      <w:overflowPunct w:val="true"/>
      <w:spacing w:lineRule="atLeast" w:line="360"/>
      <w:textAlignment w:val="baseline"/>
    </w:pPr>
    <w:rPr>
      <w:rFonts w:eastAsia="Calibri"/>
      <w:b/>
      <w:bCs/>
      <w:spacing w:val="30"/>
      <w:sz w:val="24"/>
      <w:lang w:eastAsia="pt-BR"/>
    </w:rPr>
  </w:style>
  <w:style w:type="paragraph" w:styleId="Quote">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after="0"/>
    </w:pPr>
    <w:rPr>
      <w:rFonts w:ascii="Ecofont_Spranq_eco_Sans" w:hAnsi="Ecofont_Spranq_eco_Sans" w:eastAsia="Calibri" w:cs="Tahoma"/>
      <w:i/>
      <w:iCs/>
      <w:color w:val="000000"/>
    </w:rPr>
  </w:style>
  <w:style w:type="paragraph" w:styleId="Contedodoquadro">
    <w:name w:val="Conteúdo do quadro"/>
    <w:basedOn w:val="Normal"/>
    <w:qFormat/>
    <w:pPr/>
    <w:rPr/>
  </w:style>
  <w:style w:type="numbering" w:styleId="NoList" w:default="1">
    <w:name w:val="No List"/>
    <w:uiPriority w:val="99"/>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uiPriority w:val="59"/>
    <w:rsid w:val="00a507e3"/>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455BD-7536-4BDA-8B04-0AB0FD187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LibreOffice/5.1.0.3$Windows_X86_64 LibreOffice_project/5e3e00a007d9b3b6efb6797a8b8e57b51ab1f737</Application>
  <Pages>37</Pages>
  <Words>12932</Words>
  <CharactersWithSpaces>69838</CharactersWithSpaces>
  <Paragraphs>165</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2018-11-21T17:54:00Z</dcterms:created>
  <dc:creator>Renato José da Silva Isacksson</dc:creator>
  <dc:description/>
  <dc:language>pt-BR</dc:language>
  <cp:lastModifiedBy>Lavinia Campelo Borges</cp:lastModifiedBy>
  <cp:lastPrinted>2018-09-25T20:02:00Z</cp:lastPrinted>
  <dcterms:modified xsi:type="dcterms:W3CDTF">2018-11-21T17:54:00Z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_DocHome">
    <vt:i4>36212290</vt:i4>
  </property>
</Properties>
</file>