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21AEA" w:rsidRPr="00426BB8" w:rsidRDefault="009B5D67">
      <w:pPr>
        <w:pStyle w:val="Cabealho"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 w:val="28"/>
        </w:rPr>
      </w:pPr>
      <w:r w:rsidRPr="00426BB8">
        <w:rPr>
          <w:rFonts w:ascii="Times New Roman" w:hAnsi="Times New Roman"/>
          <w:b/>
          <w:bCs/>
          <w:sz w:val="28"/>
        </w:rPr>
        <w:t xml:space="preserve"> </w:t>
      </w: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9174C0">
      <w:pPr>
        <w:jc w:val="center"/>
      </w:pPr>
    </w:p>
    <w:p w:rsidR="00121AEA" w:rsidRPr="001A51D1" w:rsidRDefault="00121AEA" w:rsidP="009174C0">
      <w:pPr>
        <w:jc w:val="center"/>
        <w:rPr>
          <w:b/>
          <w:u w:val="single"/>
        </w:rPr>
      </w:pPr>
      <w:r w:rsidRPr="001A51D1">
        <w:rPr>
          <w:b/>
          <w:u w:val="single"/>
        </w:rPr>
        <w:t>TERMOS DE REFERÊNCIA</w:t>
      </w:r>
    </w:p>
    <w:p w:rsidR="00121AEA" w:rsidRPr="00426BB8" w:rsidRDefault="00121AEA" w:rsidP="00121AEA">
      <w:pPr>
        <w:rPr>
          <w:rFonts w:ascii="Arial" w:hAnsi="Arial" w:cs="Arial"/>
        </w:rPr>
      </w:pPr>
    </w:p>
    <w:p w:rsidR="00121AEA" w:rsidRPr="00426BB8" w:rsidRDefault="00121AEA" w:rsidP="00121AEA">
      <w:pPr>
        <w:rPr>
          <w:rFonts w:ascii="Arial" w:hAnsi="Arial" w:cs="Arial"/>
        </w:rPr>
      </w:pPr>
    </w:p>
    <w:p w:rsidR="00121AEA" w:rsidRPr="00426BB8" w:rsidRDefault="00121AEA" w:rsidP="00121AEA">
      <w:pPr>
        <w:keepNext/>
        <w:spacing w:before="120" w:after="120"/>
        <w:ind w:left="1418" w:right="706"/>
        <w:jc w:val="center"/>
        <w:rPr>
          <w:rFonts w:ascii="Arial" w:hAnsi="Arial" w:cs="Arial"/>
          <w:b/>
          <w:bCs/>
        </w:rPr>
      </w:pPr>
    </w:p>
    <w:p w:rsidR="000F5C90" w:rsidRPr="00426BB8" w:rsidRDefault="000035CA" w:rsidP="000F5C90">
      <w:pPr>
        <w:pStyle w:val="TextosemFormatao1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BB8">
        <w:t xml:space="preserve"> </w:t>
      </w:r>
    </w:p>
    <w:p w:rsidR="00D66C39" w:rsidRPr="00426BB8" w:rsidRDefault="00FF571D" w:rsidP="009174C0">
      <w:pPr>
        <w:pStyle w:val="TextosemFormatao1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FF571D">
        <w:rPr>
          <w:rFonts w:ascii="Times New Roman" w:hAnsi="Times New Roman" w:cs="Times New Roman"/>
          <w:b/>
          <w:sz w:val="24"/>
          <w:szCs w:val="24"/>
        </w:rPr>
        <w:t>FORNECIMENTO, TRANSPORTE, CARGA E DESCARGA DE MÁQUINAS PERFURATRIZ DE AÇO, COMPRESSORES, FERRAMENTAS E VEÍCULOS (CAMINHÃO E PICK-UP) PARA UTILIZAÇÃO NA PERFURAÇÃO DE POÇOS TUBULARES EM ÁREAS DE ROCHAS CRISTALINAS, COM VISTAS A ATENDER ÀS DEMANDAS DOS MUNICÍPIOS</w:t>
      </w:r>
      <w:r>
        <w:rPr>
          <w:rFonts w:ascii="Times New Roman" w:hAnsi="Times New Roman" w:cs="Times New Roman"/>
          <w:b/>
          <w:sz w:val="24"/>
          <w:szCs w:val="24"/>
        </w:rPr>
        <w:t xml:space="preserve"> INSERIDOS</w:t>
      </w:r>
      <w:r w:rsidRPr="00FF571D">
        <w:rPr>
          <w:rFonts w:ascii="Times New Roman" w:hAnsi="Times New Roman" w:cs="Times New Roman"/>
          <w:b/>
          <w:sz w:val="24"/>
          <w:szCs w:val="24"/>
        </w:rPr>
        <w:t xml:space="preserve"> NA</w:t>
      </w:r>
      <w:r>
        <w:rPr>
          <w:rFonts w:ascii="Times New Roman" w:hAnsi="Times New Roman" w:cs="Times New Roman"/>
          <w:b/>
          <w:sz w:val="24"/>
          <w:szCs w:val="24"/>
        </w:rPr>
        <w:t>S ÁREAS</w:t>
      </w:r>
      <w:r w:rsidRPr="00FF571D">
        <w:rPr>
          <w:rFonts w:ascii="Times New Roman" w:hAnsi="Times New Roman" w:cs="Times New Roman"/>
          <w:b/>
          <w:sz w:val="24"/>
          <w:szCs w:val="24"/>
        </w:rPr>
        <w:t xml:space="preserve"> DE JURISDIÇÃO DA 3ª SUPERINTENDÊNCIA REGIONAL DA CODEVASF</w:t>
      </w:r>
      <w:r w:rsidRPr="00426BB8">
        <w:rPr>
          <w:rFonts w:ascii="Times New Roman" w:hAnsi="Times New Roman" w:cs="Times New Roman"/>
          <w:b/>
          <w:sz w:val="24"/>
          <w:szCs w:val="24"/>
        </w:rPr>
        <w:t>.</w:t>
      </w:r>
    </w:p>
    <w:bookmarkEnd w:id="0"/>
    <w:p w:rsidR="00D66C39" w:rsidRPr="00426BB8" w:rsidRDefault="00D66C39" w:rsidP="00121AEA">
      <w:pPr>
        <w:pStyle w:val="TextosemFormatao1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6C39" w:rsidRPr="00426BB8" w:rsidRDefault="00D66C39" w:rsidP="00121AEA">
      <w:pPr>
        <w:pStyle w:val="TextosemFormatao1"/>
        <w:ind w:left="142" w:hanging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121AEA" w:rsidP="00121AEA">
      <w:pPr>
        <w:pStyle w:val="TextosemFormatao1"/>
        <w:jc w:val="center"/>
        <w:rPr>
          <w:rFonts w:ascii="Arial" w:hAnsi="Arial" w:cs="Arial"/>
          <w:b/>
          <w:sz w:val="24"/>
          <w:szCs w:val="24"/>
        </w:rPr>
      </w:pPr>
    </w:p>
    <w:p w:rsidR="00121AEA" w:rsidRPr="00426BB8" w:rsidRDefault="007F105C" w:rsidP="00121AEA">
      <w:pPr>
        <w:suppressAutoHyphens w:val="0"/>
        <w:jc w:val="center"/>
        <w:rPr>
          <w:lang w:eastAsia="pt-BR"/>
        </w:rPr>
      </w:pPr>
      <w:r>
        <w:rPr>
          <w:b/>
          <w:bCs/>
          <w:lang w:eastAsia="pt-BR"/>
        </w:rPr>
        <w:t>AGOSTO</w:t>
      </w:r>
      <w:r w:rsidR="000F5C90" w:rsidRPr="00426BB8">
        <w:rPr>
          <w:b/>
          <w:bCs/>
          <w:lang w:eastAsia="pt-BR"/>
        </w:rPr>
        <w:t>/2018</w:t>
      </w:r>
    </w:p>
    <w:p w:rsidR="009174C0" w:rsidRDefault="009174C0">
      <w:pPr>
        <w:suppressAutoHyphens w:val="0"/>
        <w:rPr>
          <w:b/>
          <w:bCs/>
          <w:lang w:eastAsia="pt-BR"/>
        </w:rPr>
      </w:pPr>
      <w:r>
        <w:rPr>
          <w:b/>
          <w:bCs/>
        </w:rPr>
        <w:br w:type="page"/>
      </w:r>
    </w:p>
    <w:p w:rsidR="00121AEA" w:rsidRPr="00426BB8" w:rsidRDefault="00121AEA" w:rsidP="001B156C">
      <w:pPr>
        <w:pStyle w:val="NormalWeb"/>
        <w:spacing w:line="360" w:lineRule="auto"/>
        <w:jc w:val="center"/>
      </w:pPr>
      <w:r w:rsidRPr="009174C0">
        <w:rPr>
          <w:b/>
          <w:bCs/>
        </w:rPr>
        <w:lastRenderedPageBreak/>
        <w:t>ÍNDICE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val="pt-BR" w:eastAsia="ar-SA"/>
        </w:rPr>
        <w:id w:val="174984827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E524BB" w:rsidRDefault="00E524BB" w:rsidP="00F92CD7">
          <w:pPr>
            <w:pStyle w:val="CabealhodoSumrio"/>
          </w:pPr>
        </w:p>
        <w:p w:rsidR="001B156C" w:rsidRDefault="00E524BB">
          <w:pPr>
            <w:pStyle w:val="Sumrio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r>
            <w:fldChar w:fldCharType="begin"/>
          </w:r>
          <w:r>
            <w:instrText xml:space="preserve"> TOC \o "1-1" \u </w:instrText>
          </w:r>
          <w:r>
            <w:fldChar w:fldCharType="separate"/>
          </w:r>
          <w:r w:rsidR="001B156C">
            <w:rPr>
              <w:noProof/>
            </w:rPr>
            <w:t>1</w:t>
          </w:r>
          <w:r w:rsidR="001B156C"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  <w:tab/>
          </w:r>
          <w:r w:rsidR="001B156C">
            <w:rPr>
              <w:noProof/>
            </w:rPr>
            <w:t>OBJETO</w:t>
          </w:r>
          <w:r w:rsidR="001B156C">
            <w:rPr>
              <w:noProof/>
            </w:rPr>
            <w:tab/>
          </w:r>
          <w:r w:rsidR="001B156C">
            <w:rPr>
              <w:noProof/>
            </w:rPr>
            <w:fldChar w:fldCharType="begin"/>
          </w:r>
          <w:r w:rsidR="001B156C">
            <w:rPr>
              <w:noProof/>
            </w:rPr>
            <w:instrText xml:space="preserve"> PAGEREF _Toc519085873 \h </w:instrText>
          </w:r>
          <w:r w:rsidR="001B156C">
            <w:rPr>
              <w:noProof/>
            </w:rPr>
          </w:r>
          <w:r w:rsidR="001B156C">
            <w:rPr>
              <w:noProof/>
            </w:rPr>
            <w:fldChar w:fldCharType="separate"/>
          </w:r>
          <w:r w:rsidR="007F105C">
            <w:rPr>
              <w:noProof/>
            </w:rPr>
            <w:t>3</w:t>
          </w:r>
          <w:r w:rsidR="001B156C">
            <w:rPr>
              <w:noProof/>
            </w:rPr>
            <w:fldChar w:fldCharType="end"/>
          </w:r>
        </w:p>
        <w:p w:rsidR="001B156C" w:rsidRDefault="001B156C">
          <w:pPr>
            <w:pStyle w:val="Sumrio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r>
            <w:rPr>
              <w:noProof/>
            </w:rPr>
            <w:t>2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  <w:tab/>
          </w:r>
          <w:r>
            <w:rPr>
              <w:noProof/>
            </w:rPr>
            <w:t>TERMINOLOGIA E CONCEITUAÇÕES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_Toc519085874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F105C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1B156C" w:rsidRDefault="001B156C">
          <w:pPr>
            <w:pStyle w:val="Sumrio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r>
            <w:rPr>
              <w:noProof/>
            </w:rPr>
            <w:t>3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  <w:tab/>
          </w:r>
          <w:r>
            <w:rPr>
              <w:noProof/>
            </w:rPr>
            <w:t>DESCRIÇÕES GERAIS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_Toc519085875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F105C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:rsidR="001B156C" w:rsidRDefault="001B156C">
          <w:pPr>
            <w:pStyle w:val="Sumrio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r>
            <w:rPr>
              <w:noProof/>
            </w:rPr>
            <w:t>4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  <w:tab/>
          </w:r>
          <w:r>
            <w:rPr>
              <w:noProof/>
            </w:rPr>
            <w:t>CONDIÇÕES DE PARTICIPAÇÃO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_Toc519085876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F105C"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:rsidR="001B156C" w:rsidRDefault="001B156C">
          <w:pPr>
            <w:pStyle w:val="Sumrio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r>
            <w:rPr>
              <w:noProof/>
            </w:rPr>
            <w:t>5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  <w:tab/>
          </w:r>
          <w:r>
            <w:rPr>
              <w:noProof/>
            </w:rPr>
            <w:t>FORMA DE APRESENTAÇÃO DA PROPOSTA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_Toc519085877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F105C"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:rsidR="001B156C" w:rsidRDefault="001B156C">
          <w:pPr>
            <w:pStyle w:val="Sumrio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r>
            <w:rPr>
              <w:noProof/>
            </w:rPr>
            <w:t>6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  <w:tab/>
          </w:r>
          <w:r>
            <w:rPr>
              <w:noProof/>
            </w:rPr>
            <w:t>PRAZO, LOCAL DE ENTREGA E CONDIÇÕES DE EMBARQUE E TRANSPORTE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_Toc519085878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F105C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:rsidR="001B156C" w:rsidRDefault="001B156C">
          <w:pPr>
            <w:pStyle w:val="Sumrio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r>
            <w:rPr>
              <w:noProof/>
            </w:rPr>
            <w:t>7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  <w:tab/>
          </w:r>
          <w:r>
            <w:rPr>
              <w:noProof/>
            </w:rPr>
            <w:t>VALOR ESTIMADO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_Toc519085879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F105C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:rsidR="001B156C" w:rsidRDefault="001B156C">
          <w:pPr>
            <w:pStyle w:val="Sumrio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r>
            <w:rPr>
              <w:noProof/>
            </w:rPr>
            <w:t>8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  <w:tab/>
          </w:r>
          <w:r>
            <w:rPr>
              <w:noProof/>
            </w:rPr>
            <w:t>PRAZO DE VALIDADE DO SISTEMA DE REGISTRO DE PREÇOS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_Toc519085880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F105C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:rsidR="001B156C" w:rsidRDefault="001B156C">
          <w:pPr>
            <w:pStyle w:val="Sumrio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r>
            <w:rPr>
              <w:noProof/>
            </w:rPr>
            <w:t>9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  <w:tab/>
          </w:r>
          <w:r>
            <w:rPr>
              <w:noProof/>
            </w:rPr>
            <w:t>DO CONTROLE E DAS ALTERAÇÕES DE PREÇOS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_Toc519085881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F105C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:rsidR="001B156C" w:rsidRDefault="001B156C">
          <w:pPr>
            <w:pStyle w:val="Sumrio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r>
            <w:rPr>
              <w:noProof/>
            </w:rPr>
            <w:t>10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  <w:tab/>
          </w:r>
          <w:r>
            <w:rPr>
              <w:noProof/>
            </w:rPr>
            <w:t>FORMA E CONDIÇÕES DE PAGAMENTO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_Toc519085882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F105C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:rsidR="001B156C" w:rsidRDefault="001B156C">
          <w:pPr>
            <w:pStyle w:val="Sumrio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r>
            <w:rPr>
              <w:noProof/>
            </w:rPr>
            <w:t>11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  <w:tab/>
          </w:r>
          <w:r>
            <w:rPr>
              <w:noProof/>
            </w:rPr>
            <w:t>CONDIÇÕES DE RECEBIMENTO E FISCALIZAÇÃO DO OBJETO DA LICITAÇÃO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_Toc519085883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F105C">
            <w:rPr>
              <w:noProof/>
            </w:rPr>
            <w:t>12</w:t>
          </w:r>
          <w:r>
            <w:rPr>
              <w:noProof/>
            </w:rPr>
            <w:fldChar w:fldCharType="end"/>
          </w:r>
        </w:p>
        <w:p w:rsidR="001B156C" w:rsidRDefault="001B156C">
          <w:pPr>
            <w:pStyle w:val="Sumrio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r>
            <w:rPr>
              <w:noProof/>
            </w:rPr>
            <w:t>12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  <w:tab/>
          </w:r>
          <w:r>
            <w:rPr>
              <w:noProof/>
            </w:rPr>
            <w:t>GARANTIA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_Toc519085884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F105C"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:rsidR="001B156C" w:rsidRDefault="001B156C">
          <w:pPr>
            <w:pStyle w:val="Sumrio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r>
            <w:rPr>
              <w:noProof/>
            </w:rPr>
            <w:t>13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  <w:tab/>
          </w:r>
          <w:r>
            <w:rPr>
              <w:noProof/>
            </w:rPr>
            <w:t>MULTAS E SANÇOES ADMINISTRATIVAS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_Toc519085885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F105C"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:rsidR="001B156C" w:rsidRDefault="001B156C">
          <w:pPr>
            <w:pStyle w:val="Sumrio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r>
            <w:rPr>
              <w:noProof/>
            </w:rPr>
            <w:t>14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  <w:tab/>
          </w:r>
          <w:r>
            <w:rPr>
              <w:noProof/>
            </w:rPr>
            <w:t>ANEXOS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_Toc519085886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F105C"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:rsidR="00E524BB" w:rsidRDefault="00E524BB">
          <w:r>
            <w:fldChar w:fldCharType="end"/>
          </w:r>
        </w:p>
      </w:sdtContent>
    </w:sdt>
    <w:p w:rsidR="00F92CD7" w:rsidRDefault="00F92CD7">
      <w:pPr>
        <w:suppressAutoHyphens w:val="0"/>
        <w:rPr>
          <w:rStyle w:val="TtulodoLivro"/>
          <w:i w:val="0"/>
        </w:rPr>
      </w:pPr>
      <w:r>
        <w:rPr>
          <w:rStyle w:val="TtulodoLivro"/>
          <w:i w:val="0"/>
        </w:rPr>
        <w:br w:type="page"/>
      </w:r>
    </w:p>
    <w:p w:rsidR="00234BF2" w:rsidRPr="009174C0" w:rsidRDefault="0081315E" w:rsidP="001B156C">
      <w:pPr>
        <w:suppressAutoHyphens w:val="0"/>
        <w:jc w:val="center"/>
        <w:rPr>
          <w:rStyle w:val="TtulodoLivro"/>
          <w:i w:val="0"/>
        </w:rPr>
      </w:pPr>
      <w:r w:rsidRPr="009174C0">
        <w:rPr>
          <w:rStyle w:val="TtulodoLivro"/>
          <w:i w:val="0"/>
        </w:rPr>
        <w:lastRenderedPageBreak/>
        <w:t>TERMOS DE REFERÊNCIA</w:t>
      </w:r>
    </w:p>
    <w:p w:rsidR="00234BF2" w:rsidRPr="00426BB8" w:rsidRDefault="00234BF2" w:rsidP="001B156C">
      <w:pPr>
        <w:spacing w:before="80" w:after="240"/>
        <w:ind w:firstLine="567"/>
        <w:jc w:val="both"/>
      </w:pPr>
      <w:r w:rsidRPr="00426BB8">
        <w:t>A presente licitação</w:t>
      </w:r>
      <w:r w:rsidR="00D23E2E" w:rsidRPr="00426BB8">
        <w:t xml:space="preserve"> é na Modalidade</w:t>
      </w:r>
      <w:r w:rsidR="00943153" w:rsidRPr="00426BB8">
        <w:t xml:space="preserve"> “Pregão Eletrônico”, do tipo menor preço, com fulcro na Lei 10.520/2002 e Decreto 5.450/2005, </w:t>
      </w:r>
      <w:r w:rsidRPr="00426BB8">
        <w:t>em sistema de “Registro de Preços” – “Cotação por Item”.</w:t>
      </w:r>
    </w:p>
    <w:p w:rsidR="006B4327" w:rsidRPr="009174C0" w:rsidRDefault="00234BF2" w:rsidP="00F92CD7">
      <w:pPr>
        <w:pStyle w:val="Ttulo1"/>
      </w:pPr>
      <w:bookmarkStart w:id="1" w:name="_Toc519085873"/>
      <w:r w:rsidRPr="00F92CD7">
        <w:t>OBJETO</w:t>
      </w:r>
      <w:bookmarkEnd w:id="1"/>
    </w:p>
    <w:p w:rsidR="007E6AE6" w:rsidRPr="00BD673A" w:rsidRDefault="000F5C90" w:rsidP="00FF571D">
      <w:pPr>
        <w:numPr>
          <w:ilvl w:val="1"/>
          <w:numId w:val="3"/>
        </w:numPr>
        <w:tabs>
          <w:tab w:val="left" w:pos="720"/>
        </w:tabs>
        <w:spacing w:after="120"/>
        <w:jc w:val="both"/>
      </w:pPr>
      <w:r w:rsidRPr="00426BB8">
        <w:t xml:space="preserve">Contratação de empresa do ramo para o </w:t>
      </w:r>
      <w:r w:rsidR="00FF571D">
        <w:t>f</w:t>
      </w:r>
      <w:r w:rsidR="00FF571D" w:rsidRPr="00FF571D">
        <w:t>ornecimento, transporte, carga e descarga de máquinas perfuratriz de aço, compressores, ferramentas e veículos (caminhão e pick-up) para utilização na perfuração de poços tubulares</w:t>
      </w:r>
      <w:r w:rsidR="00FF571D">
        <w:t xml:space="preserve"> em áreas de rochas cristalinas.</w:t>
      </w:r>
      <w:r w:rsidRPr="00BD673A">
        <w:t xml:space="preserve"> O valor máximo estimado é de </w:t>
      </w:r>
      <w:r w:rsidRPr="00BD673A">
        <w:rPr>
          <w:b/>
        </w:rPr>
        <w:t>R</w:t>
      </w:r>
      <w:r w:rsidR="00DE02D5">
        <w:rPr>
          <w:b/>
        </w:rPr>
        <w:t>$</w:t>
      </w:r>
      <w:r w:rsidR="00DE02D5" w:rsidRPr="00DE02D5">
        <w:t xml:space="preserve"> </w:t>
      </w:r>
      <w:r w:rsidR="00DE02D5" w:rsidRPr="00DE02D5">
        <w:rPr>
          <w:b/>
        </w:rPr>
        <w:t xml:space="preserve">11.403.640,00 </w:t>
      </w:r>
      <w:r w:rsidRPr="00BD673A">
        <w:rPr>
          <w:b/>
        </w:rPr>
        <w:t>(</w:t>
      </w:r>
      <w:r w:rsidR="00DE02D5">
        <w:rPr>
          <w:b/>
        </w:rPr>
        <w:t>onze</w:t>
      </w:r>
      <w:r w:rsidR="00BD673A" w:rsidRPr="00BD673A">
        <w:rPr>
          <w:b/>
        </w:rPr>
        <w:t xml:space="preserve"> milhões, quatrocentos </w:t>
      </w:r>
      <w:r w:rsidR="00DE02D5">
        <w:rPr>
          <w:b/>
        </w:rPr>
        <w:t>e três</w:t>
      </w:r>
      <w:r w:rsidR="00BD673A" w:rsidRPr="00BD673A">
        <w:rPr>
          <w:b/>
        </w:rPr>
        <w:t xml:space="preserve"> mil, </w:t>
      </w:r>
      <w:r w:rsidR="00DE02D5">
        <w:rPr>
          <w:b/>
        </w:rPr>
        <w:t xml:space="preserve">seicentos e quarenta </w:t>
      </w:r>
      <w:r w:rsidR="00BD673A" w:rsidRPr="00BD673A">
        <w:rPr>
          <w:b/>
        </w:rPr>
        <w:t>reais</w:t>
      </w:r>
      <w:r w:rsidRPr="00BD673A">
        <w:rPr>
          <w:b/>
        </w:rPr>
        <w:t>).</w:t>
      </w:r>
    </w:p>
    <w:p w:rsidR="003B30C8" w:rsidRPr="003B30C8" w:rsidRDefault="003B30C8" w:rsidP="00F92CD7">
      <w:pPr>
        <w:pStyle w:val="Ttulo1"/>
      </w:pPr>
      <w:bookmarkStart w:id="2" w:name="_Ref236634026"/>
      <w:bookmarkStart w:id="3" w:name="_Ref236634020"/>
      <w:bookmarkStart w:id="4" w:name="_Toc518636590"/>
      <w:bookmarkStart w:id="5" w:name="_Toc519085874"/>
      <w:r w:rsidRPr="003B30C8">
        <w:t>TERMINOLOGIA E CONCEITUAÇÕES</w:t>
      </w:r>
      <w:bookmarkEnd w:id="2"/>
      <w:bookmarkEnd w:id="3"/>
      <w:bookmarkEnd w:id="4"/>
      <w:bookmarkEnd w:id="5"/>
    </w:p>
    <w:p w:rsidR="003B30C8" w:rsidRPr="00A2030E" w:rsidRDefault="003B30C8" w:rsidP="00F92CD7">
      <w:pPr>
        <w:spacing w:before="240" w:after="120"/>
        <w:ind w:left="709"/>
        <w:jc w:val="both"/>
      </w:pPr>
      <w:r w:rsidRPr="00A2030E">
        <w:t>Nestes Termos de Referência ou em qualquer outro documento relacionado com o serviço acima solicitado, os termos ou expressões têm o seguinte significado e/ou interpretação:</w:t>
      </w:r>
    </w:p>
    <w:p w:rsidR="003B30C8" w:rsidRPr="00A2030E" w:rsidRDefault="003B30C8" w:rsidP="00F92CD7">
      <w:pPr>
        <w:tabs>
          <w:tab w:val="left" w:pos="1245"/>
        </w:tabs>
        <w:spacing w:before="240" w:after="120"/>
        <w:ind w:left="709"/>
        <w:jc w:val="both"/>
      </w:pPr>
      <w:r w:rsidRPr="00A2030E">
        <w:rPr>
          <w:b/>
        </w:rPr>
        <w:t>3ª SR - SUPERINTENDÊNCIA REGIONAL</w:t>
      </w:r>
      <w:r w:rsidRPr="00A2030E">
        <w:t xml:space="preserve"> – Unidade executiva descentralizada, subordinada diretamente da presidência da </w:t>
      </w:r>
      <w:r w:rsidRPr="00A2030E">
        <w:rPr>
          <w:b/>
        </w:rPr>
        <w:t>CODEVASF</w:t>
      </w:r>
      <w:r w:rsidRPr="00A2030E">
        <w:t>, com sede em Petrolina, Estado de Pernambuco, em cuja jurisdição territorial se localiza o município de onde ocorrerá a execução das obras e serviço de perfuração de montagem dos poços objeto destes Termos de Referência;</w:t>
      </w:r>
    </w:p>
    <w:p w:rsidR="003B30C8" w:rsidRDefault="003B30C8" w:rsidP="00F92CD7">
      <w:pPr>
        <w:spacing w:before="240" w:after="120"/>
        <w:ind w:left="709"/>
        <w:jc w:val="both"/>
      </w:pPr>
      <w:r w:rsidRPr="00A2030E">
        <w:rPr>
          <w:b/>
        </w:rPr>
        <w:t>3ª GRD</w:t>
      </w:r>
      <w:r w:rsidRPr="00A2030E">
        <w:t xml:space="preserve"> </w:t>
      </w:r>
      <w:r w:rsidRPr="00A2030E">
        <w:rPr>
          <w:b/>
        </w:rPr>
        <w:t>– GERÊNCIA REGIONAL DE INFRAESTRUTURA –</w:t>
      </w:r>
      <w:r w:rsidRPr="00A2030E">
        <w:t xml:space="preserve"> Gerência da 3ª Superintendência Regional encarregada diretamente de coordenar e fiscalizar todos os trabalhos relativos a estes Termos de Referência;</w:t>
      </w:r>
    </w:p>
    <w:p w:rsidR="001B156C" w:rsidRPr="001B156C" w:rsidRDefault="001B156C" w:rsidP="00F92CD7">
      <w:pPr>
        <w:spacing w:before="240" w:after="120"/>
        <w:ind w:left="709"/>
        <w:jc w:val="both"/>
        <w:rPr>
          <w:b/>
        </w:rPr>
      </w:pPr>
      <w:r w:rsidRPr="001B156C">
        <w:rPr>
          <w:b/>
        </w:rPr>
        <w:t>3º GRA/UFN</w:t>
      </w:r>
      <w:r>
        <w:rPr>
          <w:b/>
        </w:rPr>
        <w:t xml:space="preserve"> – UNIDADE </w:t>
      </w:r>
      <w:r w:rsidR="00F92CD7">
        <w:rPr>
          <w:b/>
        </w:rPr>
        <w:t>DE FINANÇAS</w:t>
      </w:r>
    </w:p>
    <w:p w:rsidR="003B30C8" w:rsidRPr="00A2030E" w:rsidRDefault="003B30C8" w:rsidP="00F92CD7">
      <w:pPr>
        <w:spacing w:before="240" w:after="120"/>
        <w:ind w:left="709"/>
        <w:jc w:val="both"/>
      </w:pPr>
      <w:r w:rsidRPr="00A2030E">
        <w:rPr>
          <w:b/>
        </w:rPr>
        <w:t>ATA DE REGISTRO DE PREÇOS</w:t>
      </w:r>
      <w:r w:rsidRPr="00A2030E">
        <w:t xml:space="preserve"> – Documento vinculativo, obrigacional, com características de compromisso para futura contratação, onde se registram os preços, fornecedores, órgãos participantes e condições a serem praticadas, conforme disposições contidas no instrumento convocatório e propostas apresentadas;</w:t>
      </w:r>
    </w:p>
    <w:p w:rsidR="003B30C8" w:rsidRPr="00A2030E" w:rsidRDefault="003B30C8" w:rsidP="00F92CD7">
      <w:pPr>
        <w:spacing w:before="240" w:after="120"/>
        <w:ind w:left="709"/>
        <w:jc w:val="both"/>
      </w:pPr>
      <w:r w:rsidRPr="00A2030E">
        <w:rPr>
          <w:b/>
        </w:rPr>
        <w:t>CODEVASF - Companhia de Desenvolvimento dos Vales do São Francisco</w:t>
      </w:r>
      <w:r w:rsidRPr="00A2030E">
        <w:t xml:space="preserve"> </w:t>
      </w:r>
      <w:r w:rsidRPr="00A2030E">
        <w:rPr>
          <w:b/>
        </w:rPr>
        <w:t>e do Parnaíba</w:t>
      </w:r>
      <w:r w:rsidRPr="00A2030E">
        <w:t xml:space="preserve"> - Empresa pública vinculada ao Ministério da Integração Nacional, com sede no Setor de Grandes Áreas Norte - SGAN, Quadra 601 – Conjunto I - Brasília-DF, CEP 70.803-901;</w:t>
      </w:r>
    </w:p>
    <w:p w:rsidR="003B30C8" w:rsidRPr="00A2030E" w:rsidRDefault="003B30C8" w:rsidP="00F92CD7">
      <w:pPr>
        <w:pStyle w:val="Numerada1"/>
        <w:keepNext w:val="0"/>
        <w:widowControl/>
        <w:tabs>
          <w:tab w:val="clear" w:pos="1209"/>
          <w:tab w:val="left" w:pos="0"/>
        </w:tabs>
        <w:spacing w:before="240" w:after="120" w:line="240" w:lineRule="auto"/>
        <w:ind w:left="709" w:firstLine="0"/>
        <w:textAlignment w:val="auto"/>
        <w:rPr>
          <w:szCs w:val="24"/>
        </w:rPr>
      </w:pPr>
      <w:r w:rsidRPr="00A2030E">
        <w:rPr>
          <w:b/>
          <w:szCs w:val="24"/>
        </w:rPr>
        <w:t>CRONOGRAMA</w:t>
      </w:r>
      <w:r w:rsidRPr="00A2030E">
        <w:rPr>
          <w:szCs w:val="24"/>
        </w:rPr>
        <w:t xml:space="preserve"> - Representação gráfica da programação parcial ou total de um trabalho ou serviço no qual são indicadas as suas diversas fases e respectivos prazos, aliados aos custos ou preços;</w:t>
      </w:r>
    </w:p>
    <w:p w:rsidR="003B30C8" w:rsidRPr="00A2030E" w:rsidRDefault="003B30C8" w:rsidP="00F92CD7">
      <w:pPr>
        <w:spacing w:before="240" w:after="120"/>
        <w:ind w:left="709"/>
        <w:jc w:val="both"/>
      </w:pPr>
      <w:r w:rsidRPr="00A2030E">
        <w:rPr>
          <w:b/>
        </w:rPr>
        <w:t xml:space="preserve">CONCORRENTE OU LICITANTE </w:t>
      </w:r>
      <w:r w:rsidRPr="00A2030E">
        <w:t>- Empresa de engenharia, interessada na execução dos serviços objeto deste TR;</w:t>
      </w:r>
    </w:p>
    <w:p w:rsidR="003B30C8" w:rsidRPr="00A2030E" w:rsidRDefault="003B30C8" w:rsidP="00F92CD7">
      <w:pPr>
        <w:spacing w:before="240" w:after="120"/>
        <w:ind w:left="709"/>
        <w:jc w:val="both"/>
      </w:pPr>
      <w:r w:rsidRPr="00A2030E">
        <w:rPr>
          <w:b/>
        </w:rPr>
        <w:t>CONTRATO</w:t>
      </w:r>
      <w:r w:rsidRPr="00A2030E">
        <w:t xml:space="preserve"> - Documento, subscrito pela CODEVASF e a CONTRATADA, que define as obrigações de ambas com relação à execução dos serviços;</w:t>
      </w:r>
    </w:p>
    <w:p w:rsidR="003B30C8" w:rsidRPr="00A2030E" w:rsidRDefault="003B30C8" w:rsidP="00F92CD7">
      <w:pPr>
        <w:spacing w:before="240" w:after="120"/>
        <w:ind w:left="709"/>
        <w:jc w:val="both"/>
      </w:pPr>
      <w:r w:rsidRPr="00A2030E">
        <w:rPr>
          <w:b/>
        </w:rPr>
        <w:lastRenderedPageBreak/>
        <w:t>CONTRATADA</w:t>
      </w:r>
      <w:r w:rsidRPr="00A2030E">
        <w:t xml:space="preserve"> – Empresa Licitante selecionada e contratada pela CODEVASF para a execução dos serviços;</w:t>
      </w:r>
    </w:p>
    <w:p w:rsidR="003B30C8" w:rsidRPr="00A2030E" w:rsidRDefault="003B30C8" w:rsidP="00F92CD7">
      <w:pPr>
        <w:tabs>
          <w:tab w:val="left" w:pos="1233"/>
        </w:tabs>
        <w:spacing w:before="240" w:after="120"/>
        <w:ind w:left="709"/>
        <w:jc w:val="both"/>
      </w:pPr>
      <w:r w:rsidRPr="00A2030E">
        <w:rPr>
          <w:b/>
        </w:rPr>
        <w:t>CRITÉRIO DE PROJETO</w:t>
      </w:r>
      <w:r w:rsidRPr="00A2030E">
        <w:t xml:space="preserve"> - Conjunto de normas, conceitos, padrões, parâmetros etc. que nortearão o desenvolvimento dos trabalhos;</w:t>
      </w:r>
    </w:p>
    <w:p w:rsidR="003B30C8" w:rsidRPr="00A2030E" w:rsidRDefault="003B30C8" w:rsidP="00F92CD7">
      <w:pPr>
        <w:tabs>
          <w:tab w:val="left" w:pos="1233"/>
        </w:tabs>
        <w:spacing w:before="240" w:after="120"/>
        <w:ind w:left="709"/>
        <w:jc w:val="both"/>
      </w:pPr>
      <w:r w:rsidRPr="00A2030E">
        <w:rPr>
          <w:b/>
        </w:rPr>
        <w:t>CANTEIROS DE OBRAS</w:t>
      </w:r>
      <w:r w:rsidRPr="00A2030E">
        <w:t xml:space="preserve"> - Local onde serão implantadas as obras permanentes dos Projetos;</w:t>
      </w:r>
    </w:p>
    <w:p w:rsidR="003B30C8" w:rsidRPr="00A2030E" w:rsidRDefault="003B30C8" w:rsidP="00F92CD7">
      <w:pPr>
        <w:tabs>
          <w:tab w:val="left" w:pos="1233"/>
        </w:tabs>
        <w:spacing w:before="240" w:after="120"/>
        <w:ind w:left="709"/>
        <w:jc w:val="both"/>
      </w:pPr>
      <w:r w:rsidRPr="00A2030E">
        <w:rPr>
          <w:b/>
        </w:rPr>
        <w:t>DOCUMENTOS COMPLEMENTARES ou SUPLEMENTARES</w:t>
      </w:r>
      <w:r w:rsidRPr="00A2030E">
        <w:t xml:space="preserve"> - Documentos que, por força de condições técnicas imprevisíveis, se fizeram necessários para a complementação ou suplementação dos documentos emitidos nestes Termos de Referência;</w:t>
      </w:r>
    </w:p>
    <w:p w:rsidR="003B30C8" w:rsidRPr="00A2030E" w:rsidRDefault="003B30C8" w:rsidP="00F92CD7">
      <w:pPr>
        <w:tabs>
          <w:tab w:val="left" w:pos="1233"/>
        </w:tabs>
        <w:spacing w:before="240" w:after="120"/>
        <w:ind w:left="709"/>
        <w:jc w:val="both"/>
      </w:pPr>
      <w:r w:rsidRPr="00A2030E">
        <w:rPr>
          <w:b/>
        </w:rPr>
        <w:t>EMPREITERO (A) –</w:t>
      </w:r>
      <w:r w:rsidRPr="00A2030E">
        <w:t xml:space="preserve"> Empresa Contratada para a execução das obras civis e/ou serviços de montagem de equipamentos;</w:t>
      </w:r>
    </w:p>
    <w:p w:rsidR="003B30C8" w:rsidRPr="00A2030E" w:rsidRDefault="003B30C8" w:rsidP="00F92CD7">
      <w:pPr>
        <w:pStyle w:val="Numerada1"/>
        <w:keepNext w:val="0"/>
        <w:widowControl/>
        <w:tabs>
          <w:tab w:val="clear" w:pos="1209"/>
          <w:tab w:val="left" w:pos="0"/>
        </w:tabs>
        <w:spacing w:before="240" w:after="120" w:line="240" w:lineRule="auto"/>
        <w:ind w:left="709" w:firstLine="0"/>
        <w:textAlignment w:val="auto"/>
        <w:rPr>
          <w:szCs w:val="24"/>
        </w:rPr>
      </w:pPr>
      <w:r w:rsidRPr="00A2030E">
        <w:rPr>
          <w:b/>
          <w:szCs w:val="24"/>
        </w:rPr>
        <w:t xml:space="preserve">ESPECIFICAÇÃO TÉCNICA </w:t>
      </w:r>
      <w:r w:rsidRPr="00A2030E">
        <w:rPr>
          <w:szCs w:val="24"/>
        </w:rPr>
        <w:t>- Documentação destinada a fixar as características, condições ou requisitos exigíveis para matérias-primas, produtos semifabricados, elementos de construção, materiais ou produtos industriais. Conterá, também, a definição do serviço, a descrição do método construtivo, bem como o controle tecnológico e geométrico;</w:t>
      </w:r>
    </w:p>
    <w:p w:rsidR="003B30C8" w:rsidRPr="00A2030E" w:rsidRDefault="003B30C8" w:rsidP="00F92CD7">
      <w:pPr>
        <w:pStyle w:val="Numerada1"/>
        <w:keepNext w:val="0"/>
        <w:widowControl/>
        <w:tabs>
          <w:tab w:val="clear" w:pos="1209"/>
          <w:tab w:val="left" w:pos="0"/>
        </w:tabs>
        <w:spacing w:before="240" w:after="120" w:line="240" w:lineRule="auto"/>
        <w:ind w:left="709" w:firstLine="0"/>
        <w:textAlignment w:val="auto"/>
        <w:rPr>
          <w:szCs w:val="24"/>
        </w:rPr>
      </w:pPr>
      <w:r w:rsidRPr="00A2030E">
        <w:rPr>
          <w:b/>
          <w:szCs w:val="24"/>
        </w:rPr>
        <w:t>FISCALIZAÇÃO</w:t>
      </w:r>
      <w:r w:rsidRPr="00A2030E">
        <w:rPr>
          <w:szCs w:val="24"/>
        </w:rPr>
        <w:t xml:space="preserve"> - Equipe da CODEVASF indicada para exercer, em sua representação, a fiscalização do contrato de execução de obras;</w:t>
      </w:r>
    </w:p>
    <w:p w:rsidR="003B30C8" w:rsidRPr="00A2030E" w:rsidRDefault="003B30C8" w:rsidP="00F92CD7">
      <w:pPr>
        <w:spacing w:before="240" w:after="120"/>
        <w:ind w:left="709"/>
        <w:jc w:val="both"/>
      </w:pPr>
      <w:r w:rsidRPr="00A2030E">
        <w:rPr>
          <w:b/>
        </w:rPr>
        <w:t>FORNECEDOR REGISTRADO</w:t>
      </w:r>
      <w:r w:rsidRPr="00A2030E">
        <w:t xml:space="preserve"> – Empresa que, após a homologação do resultado do certame, assina a Ata de Registro de Preços, como licitante vencedora, ou a empresa que aceita executar os serviços e fornecimentos nas mesmas condições da licitante classificada em primeiro lugar, integrante assim o cadastro de reserva e assinando a Ata Suplementar de Registro de Preços;</w:t>
      </w:r>
    </w:p>
    <w:p w:rsidR="003B30C8" w:rsidRPr="00A2030E" w:rsidRDefault="003B30C8" w:rsidP="00F92CD7">
      <w:pPr>
        <w:spacing w:before="240" w:after="120"/>
        <w:ind w:left="709"/>
        <w:jc w:val="both"/>
      </w:pPr>
      <w:r w:rsidRPr="00A2030E">
        <w:rPr>
          <w:b/>
        </w:rPr>
        <w:t xml:space="preserve">GESTOR </w:t>
      </w:r>
      <w:r w:rsidRPr="00A2030E">
        <w:t>– Empregado designado pelo órgão gerenciador para gerenciar a Ata de Registro de Preços;</w:t>
      </w:r>
    </w:p>
    <w:p w:rsidR="003B30C8" w:rsidRPr="00A2030E" w:rsidRDefault="003B30C8" w:rsidP="00F92CD7">
      <w:pPr>
        <w:spacing w:before="240" w:after="120"/>
        <w:ind w:left="709"/>
        <w:jc w:val="both"/>
      </w:pPr>
      <w:r w:rsidRPr="00A2030E">
        <w:rPr>
          <w:b/>
        </w:rPr>
        <w:t>IRP – INTENÇÃO DE REGISTRO DE PREÇOS</w:t>
      </w:r>
      <w:r w:rsidRPr="00A2030E">
        <w:t xml:space="preserve"> – instrumento a ser operacionalizado por módulo do Sistema de Administração e Serviços Gerais – SIASG e que será utilizado pelos órgãos e entidades integrantes do Sistema de Serviços Gerais – SISG para registro e/ou divulgação dos itens a serem licitados;</w:t>
      </w:r>
    </w:p>
    <w:p w:rsidR="003B30C8" w:rsidRPr="00A2030E" w:rsidRDefault="003B30C8" w:rsidP="00F92CD7">
      <w:pPr>
        <w:spacing w:before="240" w:after="120"/>
        <w:ind w:left="709"/>
        <w:jc w:val="both"/>
      </w:pPr>
      <w:r w:rsidRPr="00A2030E">
        <w:rPr>
          <w:b/>
        </w:rPr>
        <w:t>LICITANTE VENCEDORA</w:t>
      </w:r>
      <w:r w:rsidRPr="00A2030E">
        <w:t xml:space="preserve"> – Empresa classificada em primeiro lugar na disputa do objeto da licitação e que assina a Ata de Registro de Preços;</w:t>
      </w:r>
    </w:p>
    <w:p w:rsidR="003B30C8" w:rsidRPr="00A2030E" w:rsidRDefault="003B30C8" w:rsidP="00F92CD7">
      <w:pPr>
        <w:tabs>
          <w:tab w:val="num" w:pos="709"/>
          <w:tab w:val="left" w:pos="1233"/>
        </w:tabs>
        <w:spacing w:before="240" w:after="120"/>
        <w:ind w:left="709"/>
        <w:jc w:val="both"/>
      </w:pPr>
      <w:r w:rsidRPr="00A2030E">
        <w:rPr>
          <w:b/>
        </w:rPr>
        <w:t xml:space="preserve">LOCAL DE ENTREGA – </w:t>
      </w:r>
      <w:r w:rsidRPr="00A2030E">
        <w:t>Local onde serão entregues os bens adquiridos.</w:t>
      </w:r>
      <w:bookmarkStart w:id="6" w:name="_Ref514740193"/>
      <w:r w:rsidRPr="00A2030E">
        <w:t xml:space="preserve"> </w:t>
      </w:r>
      <w:bookmarkEnd w:id="6"/>
    </w:p>
    <w:p w:rsidR="003B30C8" w:rsidRPr="00A2030E" w:rsidRDefault="003B30C8" w:rsidP="00F92CD7">
      <w:pPr>
        <w:tabs>
          <w:tab w:val="left" w:pos="1233"/>
        </w:tabs>
        <w:spacing w:before="240" w:after="120"/>
        <w:ind w:left="709"/>
        <w:jc w:val="both"/>
      </w:pPr>
      <w:r w:rsidRPr="00A2030E">
        <w:rPr>
          <w:b/>
        </w:rPr>
        <w:t xml:space="preserve">NOTA DE EMPENHO – </w:t>
      </w:r>
      <w:r w:rsidRPr="00A2030E">
        <w:t xml:space="preserve">Nota orçamentaria emitida pela </w:t>
      </w:r>
      <w:r w:rsidRPr="00A2030E">
        <w:rPr>
          <w:b/>
        </w:rPr>
        <w:t>CODEVASF</w:t>
      </w:r>
      <w:r w:rsidRPr="00A2030E">
        <w:t xml:space="preserve"> para a execução dos serviços;</w:t>
      </w:r>
    </w:p>
    <w:p w:rsidR="003B30C8" w:rsidRPr="00A2030E" w:rsidRDefault="003B30C8" w:rsidP="00F92CD7">
      <w:pPr>
        <w:tabs>
          <w:tab w:val="left" w:pos="1233"/>
        </w:tabs>
        <w:spacing w:before="240" w:after="120"/>
        <w:ind w:left="709"/>
        <w:jc w:val="both"/>
      </w:pPr>
      <w:r w:rsidRPr="00A2030E">
        <w:rPr>
          <w:b/>
        </w:rPr>
        <w:t xml:space="preserve">OBRAS – </w:t>
      </w:r>
      <w:r w:rsidRPr="00A2030E">
        <w:t>São todas as atividades relativas à execução das obras civis, de fornecimento e montagem de equipamento;</w:t>
      </w:r>
    </w:p>
    <w:p w:rsidR="003B30C8" w:rsidRPr="00A2030E" w:rsidRDefault="003B30C8" w:rsidP="00F92CD7">
      <w:pPr>
        <w:spacing w:before="240" w:after="120"/>
        <w:ind w:left="993"/>
        <w:jc w:val="both"/>
      </w:pPr>
      <w:r w:rsidRPr="00A2030E">
        <w:rPr>
          <w:b/>
        </w:rPr>
        <w:t>ÓRGÃO GERENCIADOR</w:t>
      </w:r>
      <w:r w:rsidRPr="00A2030E">
        <w:t xml:space="preserve"> – Órgão ou entidade da administração pública responsável pela condução do conjunto de procedimentos do certame para </w:t>
      </w:r>
      <w:r w:rsidRPr="00A2030E">
        <w:lastRenderedPageBreak/>
        <w:t>registro de preços e gerenciamento da Ata de Registro de Preços dele decorrente, que, neste caso, é a 3ª Superintendência Regional da Codevasf, com sede na R. Pres. Dutra, 160, Petrolina - PE, CEP 56304-230;</w:t>
      </w:r>
    </w:p>
    <w:p w:rsidR="003B30C8" w:rsidRPr="00A2030E" w:rsidRDefault="003B30C8" w:rsidP="00F92CD7">
      <w:pPr>
        <w:spacing w:before="240" w:after="120"/>
        <w:ind w:left="993"/>
        <w:jc w:val="both"/>
      </w:pPr>
      <w:r w:rsidRPr="00A2030E">
        <w:rPr>
          <w:b/>
        </w:rPr>
        <w:t>ÓRGÃO NÃO PARTICIPANTE</w:t>
      </w:r>
      <w:r w:rsidRPr="00A2030E">
        <w:t xml:space="preserve"> – Órgão ou entidade da administração pública que, não tendo participado dos procedimentos iniciais da licitação, atendidos os requisitos da legislação pertinente, faz posterior adesão à Ata de Registro de Preços;</w:t>
      </w:r>
    </w:p>
    <w:p w:rsidR="003B30C8" w:rsidRPr="00A2030E" w:rsidRDefault="003B30C8" w:rsidP="00F92CD7">
      <w:pPr>
        <w:spacing w:before="240" w:after="120"/>
        <w:ind w:left="993"/>
        <w:jc w:val="both"/>
      </w:pPr>
      <w:r w:rsidRPr="00A2030E">
        <w:rPr>
          <w:b/>
        </w:rPr>
        <w:t>ÓRGÃO PARTICIPANTE</w:t>
      </w:r>
      <w:r w:rsidRPr="00A2030E">
        <w:t xml:space="preserve"> – Órgão ou entidade que participa dos procedimentos iniciais do SRP – Sistema de Registro de Preços, através de adesão prévia ao IRP – Intenção de Registro de Preços, e integra a Ata de Registro de Preços;</w:t>
      </w:r>
    </w:p>
    <w:p w:rsidR="003B30C8" w:rsidRPr="00A2030E" w:rsidRDefault="003B30C8" w:rsidP="00F92CD7">
      <w:pPr>
        <w:pStyle w:val="Numerada1"/>
        <w:keepNext w:val="0"/>
        <w:widowControl/>
        <w:tabs>
          <w:tab w:val="clear" w:pos="1209"/>
        </w:tabs>
        <w:spacing w:before="240" w:after="120" w:line="240" w:lineRule="auto"/>
        <w:ind w:left="993" w:firstLine="0"/>
        <w:textAlignment w:val="auto"/>
        <w:rPr>
          <w:szCs w:val="24"/>
        </w:rPr>
      </w:pPr>
      <w:r w:rsidRPr="00A2030E">
        <w:rPr>
          <w:b/>
          <w:szCs w:val="24"/>
        </w:rPr>
        <w:t>PROJETO BÁSICO</w:t>
      </w:r>
      <w:r w:rsidRPr="00A2030E">
        <w:rPr>
          <w:szCs w:val="24"/>
        </w:rPr>
        <w:t xml:space="preserve"> – Conjunto de elementos necessários e suficientes, com nível de precisão adequado, para caracterizar a obra ou serviço, ou complexo de obras ou serviços, elaborados com base nas indicações dos estudos técnicos preliminares, que assegurem a viabilidade técnica e de adequado tratamento do impacto ambiental do empreendimento, e que possibilite a avaliação do custo da obra e a definição dos métodos e prazo de execução;</w:t>
      </w:r>
    </w:p>
    <w:p w:rsidR="003B30C8" w:rsidRPr="00A2030E" w:rsidRDefault="003B30C8" w:rsidP="00F92CD7">
      <w:pPr>
        <w:pStyle w:val="Numerada1"/>
        <w:keepNext w:val="0"/>
        <w:widowControl/>
        <w:tabs>
          <w:tab w:val="clear" w:pos="1209"/>
          <w:tab w:val="left" w:pos="0"/>
        </w:tabs>
        <w:spacing w:before="240" w:after="120" w:line="240" w:lineRule="auto"/>
        <w:ind w:left="993" w:firstLine="0"/>
        <w:textAlignment w:val="auto"/>
        <w:rPr>
          <w:szCs w:val="24"/>
        </w:rPr>
      </w:pPr>
      <w:r w:rsidRPr="00A2030E">
        <w:rPr>
          <w:b/>
          <w:szCs w:val="24"/>
        </w:rPr>
        <w:t>PROJETO EXECUTIVO</w:t>
      </w:r>
      <w:r w:rsidRPr="00A2030E">
        <w:rPr>
          <w:szCs w:val="24"/>
        </w:rPr>
        <w:t xml:space="preserve"> – Conjunto de elementos necessários e suficientes à execução completa da obra, de acordo com as normas pertinentes e as da Associação Brasileira de Normas Técnicas – ABNT;</w:t>
      </w:r>
    </w:p>
    <w:p w:rsidR="003B30C8" w:rsidRPr="00A2030E" w:rsidRDefault="003B30C8" w:rsidP="00F92CD7">
      <w:pPr>
        <w:pStyle w:val="Numerada1"/>
        <w:keepNext w:val="0"/>
        <w:widowControl/>
        <w:tabs>
          <w:tab w:val="clear" w:pos="1209"/>
          <w:tab w:val="left" w:pos="0"/>
        </w:tabs>
        <w:spacing w:before="240" w:after="120" w:line="240" w:lineRule="auto"/>
        <w:ind w:left="993" w:firstLine="0"/>
        <w:textAlignment w:val="auto"/>
        <w:rPr>
          <w:szCs w:val="24"/>
        </w:rPr>
      </w:pPr>
      <w:r w:rsidRPr="00A2030E">
        <w:rPr>
          <w:b/>
          <w:szCs w:val="24"/>
        </w:rPr>
        <w:t xml:space="preserve">PROGRAMA DE TRABALHO </w:t>
      </w:r>
      <w:r w:rsidRPr="00A2030E">
        <w:rPr>
          <w:szCs w:val="24"/>
        </w:rPr>
        <w:t>- Documento que descreve a sequência de fases de uma tarefa ou a sequência de tarefas referentes a determinado serviço ou trabalho, indicando o tempo a ser gasto em cada uma e os recursos materiais e humanos envolvidos;</w:t>
      </w:r>
    </w:p>
    <w:p w:rsidR="003B30C8" w:rsidRPr="00A2030E" w:rsidRDefault="003B30C8" w:rsidP="00F92CD7">
      <w:pPr>
        <w:spacing w:before="240" w:after="120"/>
        <w:ind w:left="993"/>
        <w:jc w:val="both"/>
      </w:pPr>
      <w:r w:rsidRPr="00A2030E">
        <w:rPr>
          <w:b/>
        </w:rPr>
        <w:t xml:space="preserve">RELATÓRIO PARCIAL – </w:t>
      </w:r>
      <w:r w:rsidRPr="00A2030E">
        <w:t>Documento a ser apresentado pela Contratada, que traduz um resultado parcial dos serviços executados.</w:t>
      </w:r>
      <w:r w:rsidRPr="00A2030E">
        <w:rPr>
          <w:b/>
        </w:rPr>
        <w:t xml:space="preserve"> </w:t>
      </w:r>
      <w:r w:rsidRPr="00A2030E">
        <w:t>Esse tipo de relatório deverá ser emitido mensalmente junto com a medição;</w:t>
      </w:r>
    </w:p>
    <w:p w:rsidR="003B30C8" w:rsidRPr="00A2030E" w:rsidRDefault="003B30C8" w:rsidP="00F92CD7">
      <w:pPr>
        <w:spacing w:before="240" w:after="120"/>
        <w:ind w:left="993"/>
        <w:jc w:val="both"/>
      </w:pPr>
      <w:r w:rsidRPr="00A2030E">
        <w:rPr>
          <w:b/>
        </w:rPr>
        <w:t>RELATÓRIO FINAL –</w:t>
      </w:r>
      <w:r w:rsidRPr="00A2030E">
        <w:t xml:space="preserve"> Documento de produção previsto ao término dos trabalhos no qual a Contratada apresenta o relato de todos os serviços executados;</w:t>
      </w:r>
    </w:p>
    <w:p w:rsidR="003B30C8" w:rsidRPr="00A2030E" w:rsidRDefault="003B30C8" w:rsidP="00F92CD7">
      <w:pPr>
        <w:spacing w:before="240" w:after="120"/>
        <w:ind w:left="993"/>
        <w:jc w:val="both"/>
      </w:pPr>
      <w:r w:rsidRPr="00A2030E">
        <w:rPr>
          <w:b/>
        </w:rPr>
        <w:t xml:space="preserve">SERVIÇOS ou TRABALHOS – </w:t>
      </w:r>
      <w:r w:rsidRPr="00A2030E">
        <w:t>O conjunto de serviços ou trabalhos objeto da Licitação a que se refere o presente Termo de Referência;</w:t>
      </w:r>
    </w:p>
    <w:p w:rsidR="003B30C8" w:rsidRPr="00A2030E" w:rsidRDefault="003B30C8" w:rsidP="00F92CD7">
      <w:pPr>
        <w:spacing w:before="240" w:after="120"/>
        <w:ind w:left="993"/>
        <w:jc w:val="both"/>
      </w:pPr>
      <w:r w:rsidRPr="00A2030E">
        <w:rPr>
          <w:b/>
        </w:rPr>
        <w:t>SERVIÇOS SIMILARES –</w:t>
      </w:r>
      <w:r w:rsidRPr="00A2030E">
        <w:t xml:space="preserve"> Aqueles realizados na área da engenharia, relacionadas à perfuração, montagem e instalação de poços tubulares, com características construtivas afins às obras de perfuração, montagem e instalação de poços artesianos tubulares em terreno cristalino ou terreno sedimentar, perfuração de poços semi-artesiano em terreno cristalino ou sedimentar, instalação e montagem de poços profundos;</w:t>
      </w:r>
    </w:p>
    <w:p w:rsidR="003B30C8" w:rsidRPr="00A2030E" w:rsidRDefault="003B30C8" w:rsidP="00F92CD7">
      <w:pPr>
        <w:spacing w:before="240" w:after="120"/>
        <w:ind w:left="993"/>
        <w:jc w:val="both"/>
      </w:pPr>
      <w:r w:rsidRPr="00A2030E">
        <w:rPr>
          <w:b/>
        </w:rPr>
        <w:t xml:space="preserve">SUPERVISÃO – </w:t>
      </w:r>
      <w:r w:rsidRPr="00A2030E">
        <w:t xml:space="preserve">Equipe de firma especializada, contratada pela </w:t>
      </w:r>
      <w:r w:rsidRPr="00A2030E">
        <w:rPr>
          <w:b/>
        </w:rPr>
        <w:t xml:space="preserve">CODEVASF </w:t>
      </w:r>
      <w:r w:rsidRPr="00A2030E">
        <w:t>para exercer a supervisão das obras de implantação do Projeto;</w:t>
      </w:r>
    </w:p>
    <w:p w:rsidR="003B30C8" w:rsidRPr="00A2030E" w:rsidRDefault="003B30C8" w:rsidP="00F92CD7">
      <w:pPr>
        <w:spacing w:before="240" w:after="120"/>
        <w:ind w:left="993"/>
        <w:jc w:val="both"/>
      </w:pPr>
      <w:r w:rsidRPr="00A2030E">
        <w:rPr>
          <w:b/>
        </w:rPr>
        <w:t>TERMOS DE REFERÊNCIA-TR</w:t>
      </w:r>
      <w:r w:rsidRPr="00A2030E">
        <w:t xml:space="preserve"> – conjunto de informações e prescrições estabelecidas pela CODEVASF, com o objetivo de definir e caracterizar as </w:t>
      </w:r>
      <w:r w:rsidRPr="00A2030E">
        <w:lastRenderedPageBreak/>
        <w:t>diretrizes, o programa e a metodologia relativos a um determinado trabalho ou serviço a ser executado;</w:t>
      </w:r>
    </w:p>
    <w:p w:rsidR="003B30C8" w:rsidRPr="00A2030E" w:rsidRDefault="003B30C8" w:rsidP="00F92CD7">
      <w:pPr>
        <w:spacing w:before="240" w:after="120"/>
        <w:ind w:left="993"/>
        <w:jc w:val="both"/>
      </w:pPr>
      <w:r w:rsidRPr="00A2030E">
        <w:rPr>
          <w:b/>
        </w:rPr>
        <w:t xml:space="preserve">SISTEMA DE REGISTRO DE PREÇOS – SRP </w:t>
      </w:r>
      <w:r w:rsidRPr="00A2030E">
        <w:t>– Conjunto de procedimentos para registro formal de preços relativos à perfuração e instalação de poços, para contratações futuras;</w:t>
      </w:r>
    </w:p>
    <w:p w:rsidR="003B30C8" w:rsidRPr="00A2030E" w:rsidRDefault="003B30C8" w:rsidP="00F92CD7">
      <w:pPr>
        <w:spacing w:before="240" w:after="120"/>
        <w:ind w:left="993"/>
        <w:jc w:val="both"/>
      </w:pPr>
      <w:r w:rsidRPr="00A2030E">
        <w:rPr>
          <w:b/>
        </w:rPr>
        <w:t>TERMO DE CONTRATO</w:t>
      </w:r>
      <w:r w:rsidRPr="00A2030E">
        <w:t xml:space="preserve"> – Acordo firmado entre a Codevasf e a licitante classificada que integra a Ata de Registro de Preços, decorrente da necessidade de se estabelecer critérios específicos para o cumprimento de condições não contempladas especificamente na respectiva Ata de Registro de Preços.</w:t>
      </w:r>
    </w:p>
    <w:p w:rsidR="00234BF2" w:rsidRPr="00426BB8" w:rsidRDefault="00234BF2" w:rsidP="00F92CD7">
      <w:pPr>
        <w:pStyle w:val="Ttulo1"/>
      </w:pPr>
      <w:bookmarkStart w:id="7" w:name="_Toc519085875"/>
      <w:r w:rsidRPr="00426BB8">
        <w:t>DESCRIÇÕES GERAIS</w:t>
      </w:r>
      <w:bookmarkEnd w:id="7"/>
      <w:r w:rsidRPr="00426BB8">
        <w:t xml:space="preserve"> </w:t>
      </w:r>
    </w:p>
    <w:p w:rsidR="00234BF2" w:rsidRPr="007213D3" w:rsidRDefault="00234BF2" w:rsidP="00F92CD7">
      <w:pPr>
        <w:pStyle w:val="Ttulo2"/>
      </w:pPr>
      <w:r w:rsidRPr="007213D3">
        <w:t xml:space="preserve">As descrições das máquinas, </w:t>
      </w:r>
      <w:r w:rsidR="00D70B2F" w:rsidRPr="007213D3">
        <w:t>equipamentos,</w:t>
      </w:r>
      <w:r w:rsidRPr="007213D3">
        <w:t xml:space="preserve"> quantidades estimadas, preços máximos constam na </w:t>
      </w:r>
      <w:r w:rsidR="00651385" w:rsidRPr="007213D3">
        <w:t>tabela</w:t>
      </w:r>
      <w:r w:rsidRPr="007213D3">
        <w:t xml:space="preserve"> de </w:t>
      </w:r>
      <w:r w:rsidR="00651385" w:rsidRPr="007213D3">
        <w:t>e</w:t>
      </w:r>
      <w:r w:rsidRPr="007213D3">
        <w:t xml:space="preserve">specificações, </w:t>
      </w:r>
      <w:r w:rsidR="00651385" w:rsidRPr="007213D3">
        <w:t>q</w:t>
      </w:r>
      <w:r w:rsidRPr="007213D3">
        <w:t>uantitat</w:t>
      </w:r>
      <w:r w:rsidR="00651385" w:rsidRPr="007213D3">
        <w:t>iv</w:t>
      </w:r>
      <w:r w:rsidR="000C4E11" w:rsidRPr="007213D3">
        <w:t>os e preços estimados, anexo 1</w:t>
      </w:r>
      <w:r w:rsidR="008A658E" w:rsidRPr="007213D3">
        <w:t>;</w:t>
      </w:r>
    </w:p>
    <w:p w:rsidR="00234BF2" w:rsidRPr="00426BB8" w:rsidRDefault="00234BF2" w:rsidP="00F92CD7">
      <w:pPr>
        <w:pStyle w:val="Ttulo2"/>
      </w:pPr>
      <w:r w:rsidRPr="00426BB8">
        <w:t xml:space="preserve">Os </w:t>
      </w:r>
      <w:r w:rsidRPr="007213D3">
        <w:rPr>
          <w:b/>
        </w:rPr>
        <w:t>bens</w:t>
      </w:r>
      <w:r w:rsidRPr="00426BB8">
        <w:t xml:space="preserve"> ofertados deverão ser originais de fábrica, não se admitindo, em hipótese alguma, produtos recondicionados, remanufaturados, reciclados ou pirateados, sob pena do afastamento do certame e/ou do não recebimento dos mesmos quando de sua entrega.</w:t>
      </w:r>
    </w:p>
    <w:p w:rsidR="00234BF2" w:rsidRPr="00426BB8" w:rsidRDefault="00234BF2" w:rsidP="00F92CD7">
      <w:pPr>
        <w:pStyle w:val="Ttulo2"/>
      </w:pPr>
      <w:r w:rsidRPr="00426BB8">
        <w:t>Os bens, ora licitados</w:t>
      </w:r>
      <w:r w:rsidR="00EE7897" w:rsidRPr="00426BB8">
        <w:t>,</w:t>
      </w:r>
      <w:r w:rsidRPr="00426BB8">
        <w:t xml:space="preserve"> devem atender às recomendações da Associação Brasileira de Normas Técnicas - ABNT (Lei n.º 4.150 de 21.11.62), no que couber, e, principalmente, no que diz respeito aos requisitos mínimos de qualidade, </w:t>
      </w:r>
      <w:r w:rsidR="00D70B2F" w:rsidRPr="00426BB8">
        <w:t xml:space="preserve">utilidade, resistência, </w:t>
      </w:r>
      <w:r w:rsidRPr="00426BB8">
        <w:t>segurança</w:t>
      </w:r>
      <w:r w:rsidR="00D70B2F" w:rsidRPr="00426BB8">
        <w:t xml:space="preserve"> e validade</w:t>
      </w:r>
      <w:r w:rsidRPr="00426BB8">
        <w:t>.</w:t>
      </w:r>
    </w:p>
    <w:p w:rsidR="00FD1CBF" w:rsidRPr="00426BB8" w:rsidRDefault="00A477A5" w:rsidP="00F92CD7">
      <w:pPr>
        <w:pStyle w:val="Ttulo2"/>
      </w:pPr>
      <w:r w:rsidRPr="00426BB8">
        <w:t xml:space="preserve">As </w:t>
      </w:r>
      <w:r w:rsidR="00FD1CBF" w:rsidRPr="00426BB8">
        <w:t>máquinas e</w:t>
      </w:r>
      <w:r w:rsidRPr="00426BB8">
        <w:t xml:space="preserve"> equipamentos,</w:t>
      </w:r>
      <w:r w:rsidR="00EE7897" w:rsidRPr="00426BB8">
        <w:t xml:space="preserve"> objeto d</w:t>
      </w:r>
      <w:r w:rsidR="00651385" w:rsidRPr="00426BB8">
        <w:t>as e</w:t>
      </w:r>
      <w:r w:rsidR="00234BF2" w:rsidRPr="00426BB8">
        <w:t>specificaçõe</w:t>
      </w:r>
      <w:r w:rsidR="00651385" w:rsidRPr="00426BB8">
        <w:t>s t</w:t>
      </w:r>
      <w:r w:rsidR="00EE7897" w:rsidRPr="00426BB8">
        <w:t>écnicas constantes do</w:t>
      </w:r>
      <w:r w:rsidR="00234BF2" w:rsidRPr="00426BB8">
        <w:t xml:space="preserve"> </w:t>
      </w:r>
      <w:r w:rsidR="000C4E11" w:rsidRPr="00426BB8">
        <w:t>anexo 1</w:t>
      </w:r>
      <w:r w:rsidR="00EE7897" w:rsidRPr="00426BB8">
        <w:t xml:space="preserve">, </w:t>
      </w:r>
      <w:r w:rsidR="00234BF2" w:rsidRPr="00426BB8">
        <w:t>deverão ser fabricad</w:t>
      </w:r>
      <w:r w:rsidR="007A1A96" w:rsidRPr="00426BB8">
        <w:t>os dentro dos padrões</w:t>
      </w:r>
      <w:r w:rsidR="00BF2C6E" w:rsidRPr="00426BB8">
        <w:t>,</w:t>
      </w:r>
      <w:r w:rsidR="00234BF2" w:rsidRPr="00426BB8">
        <w:t xml:space="preserve"> conforme legislação vigente, </w:t>
      </w:r>
      <w:r w:rsidR="00BF2C6E" w:rsidRPr="00426BB8">
        <w:t>e garantia</w:t>
      </w:r>
      <w:r w:rsidR="00234BF2" w:rsidRPr="00426BB8">
        <w:t xml:space="preserve">s contra defeitos de fabricação no prazo de garantia </w:t>
      </w:r>
      <w:r w:rsidR="0090325E" w:rsidRPr="00426BB8">
        <w:t xml:space="preserve">e validade </w:t>
      </w:r>
      <w:r w:rsidR="00234BF2" w:rsidRPr="00426BB8">
        <w:t>fixado</w:t>
      </w:r>
      <w:r w:rsidR="0090325E" w:rsidRPr="00426BB8">
        <w:t>s</w:t>
      </w:r>
      <w:r w:rsidR="00234BF2" w:rsidRPr="00426BB8">
        <w:t xml:space="preserve"> pelo fabricante, que deverá estar expressa na proposta. Em caso de não atendimento à garantia</w:t>
      </w:r>
      <w:r w:rsidR="0090325E" w:rsidRPr="00426BB8">
        <w:t xml:space="preserve"> e validade</w:t>
      </w:r>
      <w:r w:rsidR="00234BF2" w:rsidRPr="00426BB8">
        <w:t>, quando constatada no momento apropriado da entrega, o fornecedor, além de multas, deverá efetuar o ressarcimento dos prejuízos de acordo com a legislação vigente.</w:t>
      </w:r>
    </w:p>
    <w:p w:rsidR="00394ED0" w:rsidRPr="00426BB8" w:rsidRDefault="00394ED0" w:rsidP="00F92CD7">
      <w:pPr>
        <w:pStyle w:val="Ttulo2"/>
      </w:pPr>
      <w:r w:rsidRPr="00426BB8">
        <w:t>A licitante que não atender às especificações técnicas estabelecidas terá sua proposta desclassificada mesmo tendo sido habilitada no que diz respeito à documentação.</w:t>
      </w:r>
    </w:p>
    <w:p w:rsidR="00234BF2" w:rsidRPr="00426BB8" w:rsidRDefault="00234BF2" w:rsidP="00F92CD7">
      <w:pPr>
        <w:pStyle w:val="Ttulo2"/>
      </w:pPr>
      <w:r w:rsidRPr="00426BB8">
        <w:t xml:space="preserve"> Por não ser a</w:t>
      </w:r>
      <w:r w:rsidR="0090325E" w:rsidRPr="00426BB8">
        <w:t xml:space="preserve"> Codevasf </w:t>
      </w:r>
      <w:r w:rsidRPr="00426BB8">
        <w:t>contribuinte do ICMS, fica estabelecido que a alíquota</w:t>
      </w:r>
      <w:r w:rsidR="00993DF4" w:rsidRPr="00426BB8">
        <w:t xml:space="preserve"> do imposto a ser destacada na</w:t>
      </w:r>
      <w:r w:rsidR="00765091" w:rsidRPr="00426BB8">
        <w:t>s</w:t>
      </w:r>
      <w:r w:rsidR="00993DF4" w:rsidRPr="00426BB8">
        <w:t xml:space="preserve"> Nota</w:t>
      </w:r>
      <w:r w:rsidR="00765091" w:rsidRPr="00426BB8">
        <w:t>s</w:t>
      </w:r>
      <w:r w:rsidR="00993DF4" w:rsidRPr="00426BB8">
        <w:t xml:space="preserve"> F</w:t>
      </w:r>
      <w:r w:rsidR="00765091" w:rsidRPr="00426BB8">
        <w:t>iscais</w:t>
      </w:r>
      <w:r w:rsidR="00993DF4" w:rsidRPr="00426BB8">
        <w:t>/Fatura</w:t>
      </w:r>
      <w:r w:rsidR="00765091" w:rsidRPr="00426BB8">
        <w:t>s</w:t>
      </w:r>
      <w:r w:rsidRPr="00426BB8">
        <w:t xml:space="preserve"> será aquela praticada na operação interna, conforme art. 155, § 2º, inciso VII, letra “b”, da Constituição Federal/88.</w:t>
      </w:r>
    </w:p>
    <w:p w:rsidR="00234BF2" w:rsidRPr="008A658E" w:rsidRDefault="00FD1CBF" w:rsidP="00F92CD7">
      <w:pPr>
        <w:pStyle w:val="Ttulo2"/>
      </w:pPr>
      <w:r w:rsidRPr="008A658E">
        <w:t>O (</w:t>
      </w:r>
      <w:r w:rsidR="0090325E" w:rsidRPr="008A658E">
        <w:t xml:space="preserve">s) </w:t>
      </w:r>
      <w:r w:rsidRPr="008A658E">
        <w:t>fabricante (</w:t>
      </w:r>
      <w:r w:rsidR="00234BF2" w:rsidRPr="008A658E">
        <w:t xml:space="preserve">s) dos bens </w:t>
      </w:r>
      <w:r w:rsidR="00423BCF" w:rsidRPr="008A658E">
        <w:t xml:space="preserve">a serem </w:t>
      </w:r>
      <w:r w:rsidR="00234BF2" w:rsidRPr="008A658E">
        <w:t>fornecidos, na data da abertura das propostas</w:t>
      </w:r>
      <w:r w:rsidR="00423BCF" w:rsidRPr="008A658E">
        <w:t xml:space="preserve"> (inici</w:t>
      </w:r>
      <w:r w:rsidR="0039129D" w:rsidRPr="008A658E">
        <w:t>o da Sessão P</w:t>
      </w:r>
      <w:r w:rsidR="00423BCF" w:rsidRPr="008A658E">
        <w:t>ública) do P</w:t>
      </w:r>
      <w:r w:rsidR="00234BF2" w:rsidRPr="008A658E">
        <w:t>regão</w:t>
      </w:r>
      <w:r w:rsidR="00423BCF" w:rsidRPr="008A658E">
        <w:t xml:space="preserve"> Eletrônico (SRP)</w:t>
      </w:r>
      <w:r w:rsidR="00234BF2" w:rsidRPr="008A658E">
        <w:t xml:space="preserve">, </w:t>
      </w:r>
      <w:r w:rsidRPr="008A658E">
        <w:t>deverá (</w:t>
      </w:r>
      <w:r w:rsidR="00234BF2" w:rsidRPr="008A658E">
        <w:t>ão) ter empresa autorizada</w:t>
      </w:r>
      <w:r w:rsidRPr="008A658E">
        <w:t xml:space="preserve"> </w:t>
      </w:r>
      <w:r w:rsidR="009B4327">
        <w:t>p</w:t>
      </w:r>
      <w:r w:rsidR="00234BF2" w:rsidRPr="008A658E">
        <w:t>ara prestar assistência técnica</w:t>
      </w:r>
      <w:r w:rsidR="00B9632F">
        <w:t xml:space="preserve"> localizada no estado de Pernambuco ou no máximo a 250 km de quaisquer municípios da área de atuação da CODEVASF</w:t>
      </w:r>
      <w:r w:rsidR="00423BCF" w:rsidRPr="008A658E">
        <w:t xml:space="preserve">, </w:t>
      </w:r>
      <w:proofErr w:type="gramStart"/>
      <w:r w:rsidR="00234BF2" w:rsidRPr="008A658E">
        <w:t>sob pena</w:t>
      </w:r>
      <w:proofErr w:type="gramEnd"/>
      <w:r w:rsidR="00234BF2" w:rsidRPr="008A658E">
        <w:t xml:space="preserve"> de desclassificação da proposta. Para tal comprovação, deverá ser exigida no momento da </w:t>
      </w:r>
      <w:r w:rsidR="00234BF2" w:rsidRPr="008A658E">
        <w:lastRenderedPageBreak/>
        <w:t>aceitação da propost</w:t>
      </w:r>
      <w:r w:rsidR="009B4327">
        <w:t>a, documentação comprobatória do fabricante e da assistência.</w:t>
      </w:r>
    </w:p>
    <w:p w:rsidR="00234BF2" w:rsidRPr="00426BB8" w:rsidRDefault="009B4327" w:rsidP="00F92CD7">
      <w:pPr>
        <w:pStyle w:val="Ttulo2"/>
      </w:pPr>
      <w:r>
        <w:t xml:space="preserve">Os caminhões </w:t>
      </w:r>
      <w:r w:rsidR="00423BCF" w:rsidRPr="008A658E">
        <w:t xml:space="preserve">e </w:t>
      </w:r>
      <w:r w:rsidR="00423BCF" w:rsidRPr="00426BB8">
        <w:t xml:space="preserve">equipamentos, a serem </w:t>
      </w:r>
      <w:r w:rsidR="00234BF2" w:rsidRPr="00426BB8">
        <w:t>adquiridos nessa licitação</w:t>
      </w:r>
      <w:r w:rsidR="00423BCF" w:rsidRPr="00426BB8">
        <w:t>,</w:t>
      </w:r>
      <w:r w:rsidR="00234BF2" w:rsidRPr="00426BB8">
        <w:t xml:space="preserve"> deverão ser</w:t>
      </w:r>
      <w:r w:rsidR="00423BCF" w:rsidRPr="00426BB8">
        <w:t xml:space="preserve"> novos</w:t>
      </w:r>
      <w:r w:rsidR="00234BF2" w:rsidRPr="00426BB8">
        <w:t xml:space="preserve">, admitindo-se por questões normais de testes e pequenos deslocamentos de fábrica, transporte, carga e descarga, que os bens apresentem registros </w:t>
      </w:r>
      <w:r w:rsidR="00423BCF" w:rsidRPr="00426BB8">
        <w:t xml:space="preserve">de limites MÁXIMOS de uso de </w:t>
      </w:r>
      <w:r>
        <w:t>500</w:t>
      </w:r>
      <w:r w:rsidR="00423BCF" w:rsidRPr="00426BB8">
        <w:t xml:space="preserve"> Km rodados</w:t>
      </w:r>
      <w:r w:rsidR="00234BF2" w:rsidRPr="00426BB8">
        <w:t>.</w:t>
      </w:r>
    </w:p>
    <w:p w:rsidR="00234BF2" w:rsidRDefault="00234BF2" w:rsidP="00F92CD7">
      <w:pPr>
        <w:pStyle w:val="Ttulo2"/>
      </w:pPr>
      <w:r w:rsidRPr="00426BB8">
        <w:t xml:space="preserve">Os </w:t>
      </w:r>
      <w:r w:rsidR="009B4327">
        <w:t xml:space="preserve">itens </w:t>
      </w:r>
      <w:r w:rsidR="007A1A96" w:rsidRPr="00426BB8">
        <w:t>da</w:t>
      </w:r>
      <w:r w:rsidRPr="00426BB8">
        <w:t xml:space="preserve"> cotação devem estar acompanhados de manual de instrução</w:t>
      </w:r>
      <w:r w:rsidR="007A1A96" w:rsidRPr="00426BB8">
        <w:t>/montagem</w:t>
      </w:r>
      <w:r w:rsidRPr="00426BB8">
        <w:t xml:space="preserve"> em português.</w:t>
      </w:r>
    </w:p>
    <w:p w:rsidR="00234BF2" w:rsidRPr="00426BB8" w:rsidRDefault="00234BF2" w:rsidP="00F92CD7">
      <w:pPr>
        <w:pStyle w:val="Ttulo2"/>
      </w:pPr>
      <w:r w:rsidRPr="00426BB8">
        <w:t>O transporte, carga e descarga d</w:t>
      </w:r>
      <w:r w:rsidR="00FC27FC" w:rsidRPr="00426BB8">
        <w:t>os bens, assim como a montagem, quando necessária</w:t>
      </w:r>
      <w:r w:rsidRPr="00426BB8">
        <w:t>, serão de exclusiva responsabilidade da</w:t>
      </w:r>
      <w:r w:rsidR="008A6A92" w:rsidRPr="00426BB8">
        <w:t xml:space="preserve"> </w:t>
      </w:r>
      <w:r w:rsidR="00505BF8" w:rsidRPr="00426BB8">
        <w:t>(s)</w:t>
      </w:r>
      <w:r w:rsidRPr="00426BB8">
        <w:t xml:space="preserve"> contratada</w:t>
      </w:r>
      <w:r w:rsidR="008A6A92" w:rsidRPr="00426BB8">
        <w:t xml:space="preserve"> </w:t>
      </w:r>
      <w:r w:rsidR="00505BF8" w:rsidRPr="00426BB8">
        <w:t>(s)</w:t>
      </w:r>
      <w:r w:rsidRPr="00426BB8">
        <w:t>.</w:t>
      </w:r>
    </w:p>
    <w:p w:rsidR="00234BF2" w:rsidRPr="00426BB8" w:rsidRDefault="00505BF8" w:rsidP="00F92CD7">
      <w:pPr>
        <w:pStyle w:val="Ttulo2"/>
      </w:pPr>
      <w:r w:rsidRPr="00426BB8">
        <w:t>Os bens, quando couber, oriundos deste</w:t>
      </w:r>
      <w:r w:rsidR="00234BF2" w:rsidRPr="00426BB8">
        <w:t xml:space="preserve"> Registro de Preços deverão ser acondicionados em embalagens originais lacradas apropriadas para armazenamento, fazendo constar a descrição do prod</w:t>
      </w:r>
      <w:r w:rsidR="007A1A96" w:rsidRPr="00426BB8">
        <w:t>uto e incluindo: marca, modelo</w:t>
      </w:r>
      <w:r w:rsidR="00234BF2" w:rsidRPr="00426BB8">
        <w:t>, de acordo com as características individuais de cada produto.</w:t>
      </w:r>
      <w:r w:rsidR="00FC27FC" w:rsidRPr="00426BB8">
        <w:t xml:space="preserve"> </w:t>
      </w:r>
    </w:p>
    <w:p w:rsidR="00EE4AE4" w:rsidRPr="00426BB8" w:rsidRDefault="00FC27FC" w:rsidP="00F92CD7">
      <w:pPr>
        <w:pStyle w:val="Ttulo2"/>
      </w:pPr>
      <w:r w:rsidRPr="00426BB8">
        <w:t>Os Certificados de Garantia, quando couber, deverão ser enviados junto às Notas Fiscais/Faturas, no momento da entrega</w:t>
      </w:r>
      <w:r w:rsidR="00DA5B11" w:rsidRPr="00426BB8">
        <w:t xml:space="preserve"> dos bens</w:t>
      </w:r>
      <w:r w:rsidRPr="00426BB8">
        <w:t>.</w:t>
      </w:r>
    </w:p>
    <w:p w:rsidR="00560C54" w:rsidRPr="00426BB8" w:rsidRDefault="00EE4AE4" w:rsidP="00F92CD7">
      <w:pPr>
        <w:pStyle w:val="Ttulo2"/>
      </w:pPr>
      <w:r w:rsidRPr="00426BB8">
        <w:t>Havendo divergência entre a descrição dos itens constantes na “Descrição Detalhada do Objeto Ofertado” no sistema Comprasnet e a descrição contida na planilha, prevalecerá sempre a descrição contida na planilha.</w:t>
      </w:r>
    </w:p>
    <w:p w:rsidR="002F4B56" w:rsidRPr="00426BB8" w:rsidRDefault="002F4B56" w:rsidP="00F92CD7">
      <w:pPr>
        <w:pStyle w:val="Ttulo1"/>
      </w:pPr>
      <w:bookmarkStart w:id="8" w:name="_Toc519085876"/>
      <w:r w:rsidRPr="00426BB8">
        <w:t>CONDIÇÕES DE PARTICIPAÇÃO</w:t>
      </w:r>
      <w:bookmarkEnd w:id="8"/>
    </w:p>
    <w:p w:rsidR="002F4B56" w:rsidRPr="00426BB8" w:rsidRDefault="00F6251B" w:rsidP="00F92CD7">
      <w:pPr>
        <w:pStyle w:val="Ttulo2"/>
      </w:pPr>
      <w:r w:rsidRPr="00426BB8">
        <w:t xml:space="preserve">Poderão </w:t>
      </w:r>
      <w:r w:rsidRPr="007213D3">
        <w:t>participar</w:t>
      </w:r>
      <w:r w:rsidRPr="00426BB8">
        <w:t xml:space="preserve"> deste Pregão as empresas que atendam a todas as exigências, inclusive quanto à documentação, constantes deste Edital e seus Anexos, e que estejam </w:t>
      </w:r>
      <w:r w:rsidRPr="007213D3">
        <w:t>obrigatoriamente</w:t>
      </w:r>
      <w:r w:rsidRPr="00426BB8">
        <w:t xml:space="preserve"> cadastradas no SICAF e credenciados no </w:t>
      </w:r>
      <w:hyperlink r:id="rId9" w:history="1">
        <w:r w:rsidRPr="007213D3">
          <w:t>www.comprasgovernamentais.gov.br</w:t>
        </w:r>
      </w:hyperlink>
      <w:r w:rsidRPr="00426BB8">
        <w:t>, para acesso ao sistema eletrônico.</w:t>
      </w:r>
    </w:p>
    <w:p w:rsidR="009B4327" w:rsidRPr="007213D3" w:rsidRDefault="00560C54" w:rsidP="007213D3">
      <w:pPr>
        <w:pStyle w:val="Ttulo3"/>
      </w:pPr>
      <w:r w:rsidRPr="007213D3">
        <w:t xml:space="preserve">Não poderão participar consórcio entre empresas, nem será permitida a subcontratação de parte ou todo o fornecimento dos materiais. </w:t>
      </w:r>
      <w:bookmarkStart w:id="9" w:name="_Hlk513541193"/>
    </w:p>
    <w:bookmarkEnd w:id="9"/>
    <w:p w:rsidR="00F6251B" w:rsidRPr="007213D3" w:rsidRDefault="00F6251B" w:rsidP="007213D3">
      <w:pPr>
        <w:pStyle w:val="Ttulo3"/>
      </w:pPr>
      <w:r w:rsidRPr="007213D3">
        <w:t xml:space="preserve">Será, ainda, permitida a participação de cooperativas, desde que apresentem modelo de gestão operacional adequado ao objeto desta licitação, com compartilhamento ou rodízio das atividades de coordenação e supervisão da execução dos serviços e do exercício do cargo de preposto, e desde que os serviços contratados sejam executados obrigatoriamente pelos cooperados, vedando-se qualquer intermediação ou subcontratação. </w:t>
      </w:r>
    </w:p>
    <w:p w:rsidR="00234BF2" w:rsidRPr="00426BB8" w:rsidRDefault="00234BF2" w:rsidP="00F92CD7">
      <w:pPr>
        <w:pStyle w:val="Ttulo1"/>
      </w:pPr>
      <w:bookmarkStart w:id="10" w:name="_Toc519085877"/>
      <w:r w:rsidRPr="00426BB8">
        <w:t>F</w:t>
      </w:r>
      <w:r w:rsidR="00C0105D" w:rsidRPr="00426BB8">
        <w:t>ORMA DE APRESENTAÇÃO DA PROPOSTA</w:t>
      </w:r>
      <w:bookmarkEnd w:id="10"/>
    </w:p>
    <w:p w:rsidR="00234BF2" w:rsidRDefault="00234BF2" w:rsidP="00F92CD7">
      <w:pPr>
        <w:pStyle w:val="Ttulo2"/>
      </w:pPr>
      <w:r w:rsidRPr="00426BB8">
        <w:t xml:space="preserve">As propostas deverão ser formuladas e encaminhadas exclusivamente por meio do sistema eletrônico, </w:t>
      </w:r>
      <w:proofErr w:type="gramStart"/>
      <w:r w:rsidRPr="00426BB8">
        <w:t>obedecidos os</w:t>
      </w:r>
      <w:proofErr w:type="gramEnd"/>
      <w:r w:rsidRPr="00426BB8">
        <w:t xml:space="preserve"> prazos estipulados no instrumento de convocação, indicando as especificações técnicas e marca/fabricante, a garantia contra defeitos de fabricação e quaisquer outras informações afins que julgar necessárias ou convenientes e consignar o preço unitário do</w:t>
      </w:r>
      <w:r w:rsidR="00F92CD7">
        <w:t xml:space="preserve"> </w:t>
      </w:r>
      <w:r w:rsidRPr="00426BB8">
        <w:t xml:space="preserve">item expresso em reais, estando incluídos </w:t>
      </w:r>
      <w:r w:rsidRPr="00426BB8">
        <w:lastRenderedPageBreak/>
        <w:t>todos os impostos, taxas e despesas tais como transporte, carga, descarga, seguro e quaisquer outros incidentes sobre o objeto a ser licitado.</w:t>
      </w:r>
    </w:p>
    <w:p w:rsidR="00FE6B2F" w:rsidRPr="00FE6B2F" w:rsidRDefault="00FE6B2F" w:rsidP="00FE6B2F"/>
    <w:p w:rsidR="00234BF2" w:rsidRPr="00426BB8" w:rsidRDefault="00234BF2" w:rsidP="00F92CD7">
      <w:pPr>
        <w:pStyle w:val="Ttulo2"/>
      </w:pPr>
      <w:r w:rsidRPr="00426BB8">
        <w:t>A validade da proposta, não poderá ser inferior a 60 (sessenta) dias corridos a contar da data da abertura do certame licitatório.</w:t>
      </w:r>
    </w:p>
    <w:p w:rsidR="00234BF2" w:rsidRPr="00426BB8" w:rsidRDefault="00234BF2" w:rsidP="00F92CD7">
      <w:pPr>
        <w:pStyle w:val="Ttulo1"/>
      </w:pPr>
      <w:bookmarkStart w:id="11" w:name="_Toc519085878"/>
      <w:r w:rsidRPr="00426BB8">
        <w:t>PRAZO, LOCAL DE ENTREGA E CONDIÇÕES DE EMBARQUE E TRANSPORTE</w:t>
      </w:r>
      <w:bookmarkEnd w:id="11"/>
    </w:p>
    <w:p w:rsidR="00234BF2" w:rsidRPr="00426BB8" w:rsidRDefault="00234BF2" w:rsidP="00F92CD7">
      <w:pPr>
        <w:pStyle w:val="Ttulo2"/>
      </w:pPr>
      <w:r w:rsidRPr="00426BB8">
        <w:t xml:space="preserve">O prazo máximo para a entrega dos materiais será de </w:t>
      </w:r>
      <w:r w:rsidR="003B30C8">
        <w:t>120</w:t>
      </w:r>
      <w:r w:rsidRPr="00426BB8">
        <w:t xml:space="preserve"> (</w:t>
      </w:r>
      <w:r w:rsidR="003B30C8">
        <w:t>cento e vinte</w:t>
      </w:r>
      <w:r w:rsidRPr="00426BB8">
        <w:t>) dias corridos, a contar do recebimento da ORDEM DE FORNECIMENTO pela licitante vencedora.</w:t>
      </w:r>
    </w:p>
    <w:p w:rsidR="00234BF2" w:rsidRDefault="00234BF2" w:rsidP="00F92CD7">
      <w:pPr>
        <w:pStyle w:val="Ttulo2"/>
      </w:pPr>
      <w:r w:rsidRPr="00426BB8">
        <w:t xml:space="preserve">A entrega poderá ser realizada de forma parcelada, conforme orientação da </w:t>
      </w:r>
      <w:r w:rsidR="003B30C8">
        <w:t>3</w:t>
      </w:r>
      <w:r w:rsidR="00943153" w:rsidRPr="00426BB8">
        <w:t xml:space="preserve">ª </w:t>
      </w:r>
      <w:r w:rsidR="001B156C">
        <w:t>SR</w:t>
      </w:r>
      <w:r w:rsidRPr="00426BB8">
        <w:t>.</w:t>
      </w:r>
    </w:p>
    <w:p w:rsidR="003B30C8" w:rsidRPr="007213D3" w:rsidRDefault="003B30C8" w:rsidP="00F92CD7">
      <w:pPr>
        <w:pStyle w:val="Ttulo2"/>
      </w:pPr>
      <w:r w:rsidRPr="00A2030E">
        <w:t xml:space="preserve">Os bens objeto desta licitação deverão ser entregues no </w:t>
      </w:r>
      <w:r>
        <w:t>Galpão</w:t>
      </w:r>
      <w:r w:rsidRPr="00A2030E">
        <w:t xml:space="preserve"> do CS-03, localizado no perímetro de irrigação Senador Nilo Coelho, 18 km da sede, conforme mapa abaixo.</w:t>
      </w:r>
    </w:p>
    <w:p w:rsidR="003B30C8" w:rsidRPr="00A2030E" w:rsidRDefault="003B30C8" w:rsidP="003B30C8">
      <w:pPr>
        <w:tabs>
          <w:tab w:val="left" w:pos="1233"/>
        </w:tabs>
        <w:spacing w:before="240" w:after="120"/>
        <w:jc w:val="center"/>
      </w:pPr>
      <w:r w:rsidRPr="00A2030E">
        <w:rPr>
          <w:noProof/>
          <w:lang w:eastAsia="pt-BR"/>
        </w:rPr>
        <w:drawing>
          <wp:inline distT="0" distB="0" distL="0" distR="0" wp14:anchorId="0C81A930" wp14:editId="65445377">
            <wp:extent cx="4557395" cy="3175000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73" t="17094" r="3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7395" cy="317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0C8" w:rsidRPr="003B30C8" w:rsidRDefault="003B30C8" w:rsidP="00F92CD7">
      <w:pPr>
        <w:pStyle w:val="Ttulo2"/>
      </w:pPr>
      <w:r w:rsidRPr="003B30C8">
        <w:t>A contratada deverá contatar a sede da 3ª</w:t>
      </w:r>
      <w:r w:rsidR="001B156C">
        <w:t xml:space="preserve"> </w:t>
      </w:r>
      <w:r w:rsidRPr="003B30C8">
        <w:t>SR em Petrolina, através da Gerência Regional de Infraestrutura – 3ª/GRD, fone 87-3866.7737, em dias úteis, no horário das 8h às 12h e das 13h30 às 17h30, para informar à gerência, com antecedência mínima de 72 horas (três dias úteis) a respeito do dia e da hora previstas para entrega.</w:t>
      </w:r>
    </w:p>
    <w:p w:rsidR="003B30C8" w:rsidRDefault="003B30C8" w:rsidP="00F92CD7">
      <w:pPr>
        <w:pStyle w:val="Ttulo2"/>
      </w:pPr>
      <w:r w:rsidRPr="00A2030E">
        <w:t>O meio de transporte e o acondicionamento dos bens devem ocorrer em padrões de qualidade que assegurem a integridade e qualidade dos mesmos. Todas as partes sujeitas a vibrações ou pancadas durante o transporte deverão ser travadas ou suportadas de forma a evitar danos aos objetos transportados.</w:t>
      </w:r>
    </w:p>
    <w:p w:rsidR="00FE6B2F" w:rsidRPr="00FE6B2F" w:rsidRDefault="00FE6B2F" w:rsidP="00FE6B2F"/>
    <w:p w:rsidR="003B30C8" w:rsidRDefault="003B30C8" w:rsidP="00F92CD7">
      <w:pPr>
        <w:pStyle w:val="Ttulo2"/>
      </w:pPr>
      <w:r w:rsidRPr="00A2030E">
        <w:lastRenderedPageBreak/>
        <w:t>O transporte, carga e descarga dos bens serão de exclusiva responsabilidade da licitante vencedora.</w:t>
      </w:r>
    </w:p>
    <w:p w:rsidR="00234BF2" w:rsidRPr="00426BB8" w:rsidRDefault="00234BF2" w:rsidP="00F92CD7">
      <w:pPr>
        <w:pStyle w:val="Ttulo1"/>
      </w:pPr>
      <w:bookmarkStart w:id="12" w:name="_Toc519085879"/>
      <w:r w:rsidRPr="007213D3">
        <w:t>VALOR</w:t>
      </w:r>
      <w:r w:rsidRPr="00426BB8">
        <w:t xml:space="preserve"> ESTIMADO</w:t>
      </w:r>
      <w:bookmarkEnd w:id="12"/>
    </w:p>
    <w:p w:rsidR="00234BF2" w:rsidRPr="00426BB8" w:rsidRDefault="00234BF2" w:rsidP="00DE02D5">
      <w:pPr>
        <w:pStyle w:val="Ttulo2"/>
      </w:pPr>
      <w:r w:rsidRPr="00426BB8">
        <w:t xml:space="preserve">O valor </w:t>
      </w:r>
      <w:r w:rsidR="006D6455" w:rsidRPr="00426BB8">
        <w:t xml:space="preserve">máximo </w:t>
      </w:r>
      <w:r w:rsidRPr="00426BB8">
        <w:t xml:space="preserve">estimado para aquisição é de </w:t>
      </w:r>
      <w:r w:rsidR="00DE02D5" w:rsidRPr="00DE02D5">
        <w:rPr>
          <w:b/>
        </w:rPr>
        <w:t>R$ 11.403.640,00 (onze milhões, quatrocentos e três mil, seicentos e quarenta reais).</w:t>
      </w:r>
      <w:r w:rsidR="00857957" w:rsidRPr="00426BB8">
        <w:rPr>
          <w:b/>
        </w:rPr>
        <w:t xml:space="preserve">, </w:t>
      </w:r>
      <w:r w:rsidR="004A3EAE" w:rsidRPr="00426BB8">
        <w:t>d</w:t>
      </w:r>
      <w:r w:rsidR="00CA31E5" w:rsidRPr="00426BB8">
        <w:t xml:space="preserve">iscriminado na </w:t>
      </w:r>
      <w:r w:rsidR="00DA615F" w:rsidRPr="00426BB8">
        <w:t>tabela</w:t>
      </w:r>
      <w:r w:rsidR="00CA31E5" w:rsidRPr="00426BB8">
        <w:t xml:space="preserve"> de E</w:t>
      </w:r>
      <w:r w:rsidRPr="00426BB8">
        <w:t>specificações, quantitativos e preços, anexa a este Termo de Referência.</w:t>
      </w:r>
    </w:p>
    <w:p w:rsidR="00234BF2" w:rsidRPr="00426BB8" w:rsidRDefault="00234BF2" w:rsidP="00F92CD7">
      <w:pPr>
        <w:pStyle w:val="Ttulo1"/>
      </w:pPr>
      <w:bookmarkStart w:id="13" w:name="_Toc519085880"/>
      <w:r w:rsidRPr="00426BB8">
        <w:t>PRAZO DE VALIDADE DO SISTEMA DE REGISTRO DE PREÇOS</w:t>
      </w:r>
      <w:bookmarkEnd w:id="13"/>
    </w:p>
    <w:p w:rsidR="00234BF2" w:rsidRDefault="00234BF2" w:rsidP="00F92CD7">
      <w:pPr>
        <w:pStyle w:val="Ttulo2"/>
      </w:pPr>
      <w:r w:rsidRPr="00426BB8">
        <w:t xml:space="preserve">O prazo de validade dos preços apresentados é de 12 (doze) meses, a contar da data de publicação da Ata de Registro de Preços, no Diário Oficial da União. </w:t>
      </w:r>
    </w:p>
    <w:p w:rsidR="00234BF2" w:rsidRPr="00426BB8" w:rsidRDefault="00234BF2" w:rsidP="00F92CD7">
      <w:pPr>
        <w:pStyle w:val="Ttulo1"/>
      </w:pPr>
      <w:bookmarkStart w:id="14" w:name="_Toc519085881"/>
      <w:r w:rsidRPr="00426BB8">
        <w:t>DO CONTROLE E DAS ALTERAÇÕES DE PREÇOS</w:t>
      </w:r>
      <w:bookmarkEnd w:id="14"/>
    </w:p>
    <w:p w:rsidR="00234BF2" w:rsidRDefault="00234BF2" w:rsidP="00F92CD7">
      <w:pPr>
        <w:pStyle w:val="Ttulo2"/>
      </w:pPr>
      <w:r w:rsidRPr="00426BB8">
        <w:t>Durante a vigência da Ata, os preços registrados serão irreajustáveis, exceto nas hipóteses decorrentes e devidamente comprovadas das situações previstas na alínea “d” do inciso II do art. 65 da Lei n.º 8.666/1993 ou de redução dos preços praticados no mercado.</w:t>
      </w:r>
    </w:p>
    <w:p w:rsidR="00234BF2" w:rsidRPr="00426BB8" w:rsidRDefault="00234BF2" w:rsidP="00F92CD7">
      <w:pPr>
        <w:pStyle w:val="Ttulo1"/>
      </w:pPr>
      <w:bookmarkStart w:id="15" w:name="_Toc519085882"/>
      <w:r w:rsidRPr="00426BB8">
        <w:t xml:space="preserve">FORMA </w:t>
      </w:r>
      <w:r w:rsidR="006255A4" w:rsidRPr="00426BB8">
        <w:t xml:space="preserve">E CONDIÇÕES </w:t>
      </w:r>
      <w:r w:rsidRPr="00426BB8">
        <w:t>DE PAGAMENTO</w:t>
      </w:r>
      <w:bookmarkEnd w:id="15"/>
    </w:p>
    <w:p w:rsidR="00234BF2" w:rsidRPr="00426BB8" w:rsidRDefault="00234BF2" w:rsidP="00F92CD7">
      <w:pPr>
        <w:pStyle w:val="Ttulo2"/>
      </w:pPr>
      <w:r w:rsidRPr="00426BB8">
        <w:t>Os pagamentos serão efetuados em reais, contra entrega dos equipame</w:t>
      </w:r>
      <w:r w:rsidR="00765091" w:rsidRPr="00426BB8">
        <w:t>ntos, mediante apresentação de Notas Fiscais/</w:t>
      </w:r>
      <w:proofErr w:type="gramStart"/>
      <w:r w:rsidR="00765091" w:rsidRPr="00426BB8">
        <w:t>Faturas</w:t>
      </w:r>
      <w:r w:rsidRPr="00426BB8">
        <w:t>, devidamente atestadas</w:t>
      </w:r>
      <w:proofErr w:type="gramEnd"/>
      <w:r w:rsidRPr="00426BB8">
        <w:t xml:space="preserve"> pela fiscalização</w:t>
      </w:r>
      <w:r w:rsidR="00765091" w:rsidRPr="00426BB8">
        <w:t xml:space="preserve"> da </w:t>
      </w:r>
      <w:r w:rsidR="00FE6B2F">
        <w:t xml:space="preserve">3ª </w:t>
      </w:r>
      <w:r w:rsidR="00765091" w:rsidRPr="003B30C8">
        <w:t>SR/</w:t>
      </w:r>
      <w:proofErr w:type="spellStart"/>
      <w:r w:rsidR="00765091" w:rsidRPr="003B30C8">
        <w:t>Codevasf</w:t>
      </w:r>
      <w:proofErr w:type="spellEnd"/>
      <w:r w:rsidRPr="00426BB8">
        <w:t>.</w:t>
      </w:r>
    </w:p>
    <w:p w:rsidR="00234BF2" w:rsidRPr="00426BB8" w:rsidRDefault="007715C9" w:rsidP="00F92CD7">
      <w:pPr>
        <w:pStyle w:val="Ttulo2"/>
      </w:pPr>
      <w:r w:rsidRPr="00426BB8">
        <w:t>A entrega das máquinas, implementos,</w:t>
      </w:r>
      <w:r w:rsidR="00DA615F" w:rsidRPr="00426BB8">
        <w:t xml:space="preserve"> equipamentos e</w:t>
      </w:r>
      <w:r w:rsidRPr="00426BB8">
        <w:t xml:space="preserve"> materiais </w:t>
      </w:r>
      <w:r w:rsidR="00234BF2" w:rsidRPr="00426BB8">
        <w:t>nos locai</w:t>
      </w:r>
      <w:r w:rsidRPr="00426BB8">
        <w:t>s estabelecidos poderá ser efetiv</w:t>
      </w:r>
      <w:r w:rsidR="00234BF2" w:rsidRPr="00426BB8">
        <w:t xml:space="preserve">ado </w:t>
      </w:r>
      <w:r w:rsidRPr="00426BB8">
        <w:t xml:space="preserve">de forma parcial conforme previamente acordado com </w:t>
      </w:r>
      <w:r w:rsidR="001B156C">
        <w:t>fiscalização.</w:t>
      </w:r>
    </w:p>
    <w:p w:rsidR="00234BF2" w:rsidRPr="00426BB8" w:rsidRDefault="00234BF2" w:rsidP="00F92CD7">
      <w:pPr>
        <w:pStyle w:val="Ttulo2"/>
      </w:pPr>
      <w:r w:rsidRPr="00426BB8">
        <w:t>Será observado o prazo de até 30 (trinta) dias para pagamento, contado da data final do período de adimplemento de cada parcela estipulada, conforme estabelece o Art. 40, inciso XIV, alínea “a”, da Lei n.º 8.666/93.</w:t>
      </w:r>
    </w:p>
    <w:p w:rsidR="00234BF2" w:rsidRPr="00426BB8" w:rsidRDefault="00234BF2" w:rsidP="00F92CD7">
      <w:pPr>
        <w:pStyle w:val="Ttulo2"/>
      </w:pPr>
      <w:bookmarkStart w:id="16" w:name="_Hlk514078493"/>
      <w:r w:rsidRPr="00426BB8">
        <w:t>Considera como data final do período de adimplemento, a data útil seguinte, à data de entrega do documento de cobrança no local de pagamento dos serviços descrito no subitem 1.2. deste Edital, a partir da qual será observado o prazo para pagamento, conforme estabelecido no art. 9º do Decreto n.º 1.054, de 07/02/94.</w:t>
      </w:r>
    </w:p>
    <w:bookmarkEnd w:id="16"/>
    <w:p w:rsidR="00234BF2" w:rsidRPr="00426BB8" w:rsidRDefault="00234BF2" w:rsidP="00F92CD7">
      <w:pPr>
        <w:pStyle w:val="Ttulo2"/>
      </w:pPr>
      <w:r w:rsidRPr="00426BB8">
        <w:t>A</w:t>
      </w:r>
      <w:r w:rsidR="00765091" w:rsidRPr="00426BB8">
        <w:t>s</w:t>
      </w:r>
      <w:r w:rsidRPr="00426BB8">
        <w:t xml:space="preserve"> </w:t>
      </w:r>
      <w:r w:rsidR="00765091" w:rsidRPr="00426BB8">
        <w:t>Notas Fiscais/Faturas deverão</w:t>
      </w:r>
      <w:r w:rsidRPr="00426BB8">
        <w:t xml:space="preserve"> destacar o valor do IRPJ e demais contribuições incidentes, para fins de retenção na fonte, de acordo com o art. 1º, § 6º da IN/SRF n.º 480/2004, ou informar a isenção, não incidência ou alíquota zero, e respectivo enquadramento legal, sob pena de retenção</w:t>
      </w:r>
      <w:r w:rsidR="00F92CD7">
        <w:t xml:space="preserve"> </w:t>
      </w:r>
      <w:r w:rsidRPr="00426BB8">
        <w:t>do imposto de renda e das contribuições sobre o valor total do documento fiscal, no percentual correspondente à natureza do bem.</w:t>
      </w:r>
    </w:p>
    <w:p w:rsidR="00234BF2" w:rsidRPr="00426BB8" w:rsidRDefault="00234BF2" w:rsidP="00F92CD7">
      <w:pPr>
        <w:pStyle w:val="Ttulo2"/>
      </w:pPr>
      <w:bookmarkStart w:id="17" w:name="_Hlk514078449"/>
      <w:r w:rsidRPr="00426BB8">
        <w:t xml:space="preserve">As </w:t>
      </w:r>
      <w:r w:rsidR="00765091" w:rsidRPr="00426BB8">
        <w:t xml:space="preserve">Notas Fiscais/Faturas </w:t>
      </w:r>
      <w:r w:rsidRPr="00426BB8">
        <w:t>deverão vir acompanhadas</w:t>
      </w:r>
      <w:r w:rsidR="009F58CA" w:rsidRPr="00426BB8">
        <w:t xml:space="preserve"> da documentação justificativa de</w:t>
      </w:r>
      <w:r w:rsidRPr="00426BB8">
        <w:t xml:space="preserve"> cada fornecimento </w:t>
      </w:r>
      <w:proofErr w:type="gramStart"/>
      <w:r w:rsidRPr="00426BB8">
        <w:t>fatur</w:t>
      </w:r>
      <w:r w:rsidR="009F58CA" w:rsidRPr="00426BB8">
        <w:t>ado, devidamente atestada</w:t>
      </w:r>
      <w:proofErr w:type="gramEnd"/>
      <w:r w:rsidR="009F58CA" w:rsidRPr="00426BB8">
        <w:t xml:space="preserve"> pela F</w:t>
      </w:r>
      <w:r w:rsidRPr="00426BB8">
        <w:t>iscalização</w:t>
      </w:r>
      <w:r w:rsidR="00C1263E">
        <w:t xml:space="preserve"> da 3</w:t>
      </w:r>
      <w:r w:rsidR="00765091" w:rsidRPr="003B30C8">
        <w:t>SR/</w:t>
      </w:r>
      <w:proofErr w:type="spellStart"/>
      <w:r w:rsidR="00765091" w:rsidRPr="003B30C8">
        <w:t>Codevasf</w:t>
      </w:r>
      <w:proofErr w:type="spellEnd"/>
      <w:r w:rsidRPr="00426BB8">
        <w:t xml:space="preserve"> e com destaque das alíquotas tributárias incidentes.</w:t>
      </w:r>
    </w:p>
    <w:p w:rsidR="00234BF2" w:rsidRPr="00426BB8" w:rsidRDefault="00765091" w:rsidP="00F92CD7">
      <w:pPr>
        <w:pStyle w:val="Ttulo2"/>
      </w:pPr>
      <w:r w:rsidRPr="00426BB8">
        <w:lastRenderedPageBreak/>
        <w:t>As Notas Fiscais/Faturas só serão</w:t>
      </w:r>
      <w:r w:rsidR="00234BF2" w:rsidRPr="00426BB8">
        <w:t xml:space="preserve"> liberada</w:t>
      </w:r>
      <w:r w:rsidRPr="00426BB8">
        <w:t>s</w:t>
      </w:r>
      <w:r w:rsidR="00234BF2" w:rsidRPr="00426BB8">
        <w:t xml:space="preserve"> para pagamento </w:t>
      </w:r>
      <w:r w:rsidRPr="00426BB8">
        <w:t xml:space="preserve">após atestadas pela Fiscalização da e </w:t>
      </w:r>
      <w:r w:rsidR="00234BF2" w:rsidRPr="00426BB8">
        <w:t>aprovada</w:t>
      </w:r>
      <w:r w:rsidRPr="00426BB8">
        <w:t>s</w:t>
      </w:r>
      <w:r w:rsidR="00234BF2" w:rsidRPr="00426BB8">
        <w:t xml:space="preserve"> pela </w:t>
      </w:r>
      <w:r w:rsidR="007715C9" w:rsidRPr="00426BB8">
        <w:t xml:space="preserve">área gestora da </w:t>
      </w:r>
      <w:r w:rsidR="001B156C">
        <w:t>3</w:t>
      </w:r>
      <w:r w:rsidR="007715C9" w:rsidRPr="00426BB8">
        <w:t>ª</w:t>
      </w:r>
      <w:r w:rsidR="001B156C">
        <w:t xml:space="preserve"> </w:t>
      </w:r>
      <w:r w:rsidR="007715C9" w:rsidRPr="00426BB8">
        <w:t>S</w:t>
      </w:r>
      <w:r w:rsidR="001B156C">
        <w:t>R</w:t>
      </w:r>
      <w:r w:rsidRPr="00426BB8">
        <w:t>, e deverão</w:t>
      </w:r>
      <w:r w:rsidR="00234BF2" w:rsidRPr="00426BB8">
        <w:t xml:space="preserve"> estar isenta</w:t>
      </w:r>
      <w:r w:rsidRPr="00426BB8">
        <w:t>s</w:t>
      </w:r>
      <w:r w:rsidR="00234BF2" w:rsidRPr="00426BB8">
        <w:t xml:space="preserve"> de erros ou omissões, sem o que será, de forma imediata, devolvida à licitante vencedora para correções.</w:t>
      </w:r>
    </w:p>
    <w:p w:rsidR="00234BF2" w:rsidRPr="00426BB8" w:rsidRDefault="005934DA" w:rsidP="00F92CD7">
      <w:pPr>
        <w:pStyle w:val="Ttulo2"/>
      </w:pPr>
      <w:r w:rsidRPr="00426BB8">
        <w:t>Nas Notas Fiscais/Faturas deverão constar</w:t>
      </w:r>
      <w:r w:rsidR="007715C9" w:rsidRPr="00426BB8">
        <w:t>,</w:t>
      </w:r>
      <w:r w:rsidRPr="00426BB8">
        <w:t xml:space="preserve"> obrigatoriamente, o número da Ordem de Fornecimento, </w:t>
      </w:r>
      <w:r w:rsidR="00234BF2" w:rsidRPr="00426BB8">
        <w:t>Nota</w:t>
      </w:r>
      <w:r w:rsidRPr="00426BB8">
        <w:t xml:space="preserve"> de Empenho</w:t>
      </w:r>
      <w:r w:rsidR="00234BF2" w:rsidRPr="00426BB8">
        <w:t xml:space="preserve"> emitida pela C</w:t>
      </w:r>
      <w:r w:rsidRPr="00426BB8">
        <w:t>odevasf para co</w:t>
      </w:r>
      <w:r w:rsidR="00234BF2" w:rsidRPr="00426BB8">
        <w:t>br</w:t>
      </w:r>
      <w:r w:rsidRPr="00426BB8">
        <w:t>ir a execução do</w:t>
      </w:r>
      <w:r w:rsidR="00234BF2" w:rsidRPr="00426BB8">
        <w:t xml:space="preserve"> fornecimento, e </w:t>
      </w:r>
      <w:r w:rsidRPr="00426BB8">
        <w:t>a indicação do banco (</w:t>
      </w:r>
      <w:r w:rsidR="00234BF2" w:rsidRPr="00426BB8">
        <w:t>agência e o número da conta</w:t>
      </w:r>
      <w:r w:rsidRPr="00426BB8">
        <w:t>, com os respectivos códigos)</w:t>
      </w:r>
      <w:r w:rsidR="00234BF2" w:rsidRPr="00426BB8">
        <w:t xml:space="preserve"> para posterior pagamento.</w:t>
      </w:r>
    </w:p>
    <w:p w:rsidR="00234BF2" w:rsidRPr="00426BB8" w:rsidRDefault="00234BF2" w:rsidP="00F92CD7">
      <w:pPr>
        <w:pStyle w:val="Ttulo2"/>
      </w:pPr>
      <w:r w:rsidRPr="00426BB8">
        <w:t>Quaisquer tributos ou encargos legais, criados, alterados ou extintos, após a data de apresentação da proposta, de comprovada repercussão nos preços contratados</w:t>
      </w:r>
      <w:r w:rsidR="000A578D" w:rsidRPr="00426BB8">
        <w:t>, conforme a Ata do Registro de Preço</w:t>
      </w:r>
      <w:r w:rsidRPr="00426BB8">
        <w:t>, ensejarão a revisão destes, para mais ou para menos, conforme o caso.</w:t>
      </w:r>
    </w:p>
    <w:p w:rsidR="00234BF2" w:rsidRPr="00426BB8" w:rsidRDefault="00234BF2" w:rsidP="00F92CD7">
      <w:pPr>
        <w:pStyle w:val="Ttulo2"/>
      </w:pPr>
      <w:r w:rsidRPr="00426BB8">
        <w:t>Ficam excluídos da hipótese referida no subitem anterior, tributos ou encargos legais que, por sua natureza jurídica tributária (impostos diretos e/ou pessoais) não reflitam diretamente nos preços do objeto contratual.</w:t>
      </w:r>
    </w:p>
    <w:p w:rsidR="00234BF2" w:rsidRPr="00426BB8" w:rsidRDefault="00234BF2" w:rsidP="00F92CD7">
      <w:pPr>
        <w:pStyle w:val="Ttulo2"/>
      </w:pPr>
      <w:r w:rsidRPr="00426BB8">
        <w:t>Qualquer suspensão de pagamento de</w:t>
      </w:r>
      <w:r w:rsidR="006F0F79" w:rsidRPr="00426BB8">
        <w:t>vido à falta de regularidade da(s) vencedora(s) da Ata do Registro de Preço</w:t>
      </w:r>
      <w:r w:rsidRPr="00426BB8">
        <w:t xml:space="preserve"> perante o sistema SICAF ou a não apresentação da documentação obrigatória, não gerará para a </w:t>
      </w:r>
      <w:r w:rsidR="006A032C" w:rsidRPr="00426BB8">
        <w:t>Codevasf</w:t>
      </w:r>
      <w:r w:rsidRPr="00426BB8">
        <w:t xml:space="preserve"> nenhuma responsabilidade nem obrigação de reajustamento ou atualização monetária do valor devido.</w:t>
      </w:r>
    </w:p>
    <w:p w:rsidR="00234BF2" w:rsidRPr="00426BB8" w:rsidRDefault="00234BF2" w:rsidP="00F92CD7">
      <w:pPr>
        <w:pStyle w:val="Ttulo2"/>
      </w:pPr>
      <w:bookmarkStart w:id="18" w:name="_Hlk514078284"/>
      <w:bookmarkEnd w:id="17"/>
      <w:r w:rsidRPr="00426BB8">
        <w:t>É de inteira responsabil</w:t>
      </w:r>
      <w:r w:rsidR="006F0F79" w:rsidRPr="00426BB8">
        <w:t xml:space="preserve">idade da(s) vencedora(s) da Ata do Registro de Preço a entrega à </w:t>
      </w:r>
      <w:r w:rsidR="001B156C">
        <w:t>3ª SR</w:t>
      </w:r>
      <w:r w:rsidR="006A032C" w:rsidRPr="00426BB8">
        <w:t xml:space="preserve"> da Codevasf</w:t>
      </w:r>
      <w:r w:rsidRPr="00426BB8">
        <w:t xml:space="preserve"> dos documentos de cobrança acompanhados dos respectivos anexos, se houver, de forma clara, objetiva e ordenada, que se não atendido, implica em desconsideração pela </w:t>
      </w:r>
      <w:r w:rsidR="006A032C" w:rsidRPr="00426BB8">
        <w:t>Codevasf</w:t>
      </w:r>
      <w:r w:rsidRPr="00426BB8">
        <w:t xml:space="preserve"> dos prazos estabelecidos.</w:t>
      </w:r>
    </w:p>
    <w:bookmarkEnd w:id="18"/>
    <w:p w:rsidR="00234BF2" w:rsidRPr="00426BB8" w:rsidRDefault="00234BF2" w:rsidP="00F92CD7">
      <w:pPr>
        <w:pStyle w:val="Ttulo2"/>
      </w:pPr>
      <w:r w:rsidRPr="00426BB8">
        <w:t>Caso a licitante</w:t>
      </w:r>
      <w:r w:rsidR="006F0F79" w:rsidRPr="00426BB8">
        <w:t>,</w:t>
      </w:r>
      <w:r w:rsidRPr="00426BB8">
        <w:t xml:space="preserve"> </w:t>
      </w:r>
      <w:proofErr w:type="gramStart"/>
      <w:r w:rsidRPr="00426BB8">
        <w:t xml:space="preserve">vencedora </w:t>
      </w:r>
      <w:r w:rsidR="006F0F79" w:rsidRPr="00426BB8">
        <w:t xml:space="preserve">da Ata do Registro de Preço, </w:t>
      </w:r>
      <w:r w:rsidRPr="00426BB8">
        <w:t>seja optante pelo Sistema Integrado de Pagamento de Impostos e Contribuições das Microempresas, empresas de pequeno porte e cooperativas</w:t>
      </w:r>
      <w:proofErr w:type="gramEnd"/>
      <w:r w:rsidRPr="00426BB8">
        <w:t xml:space="preserve"> – SIMPLES, dev</w:t>
      </w:r>
      <w:r w:rsidR="00902711" w:rsidRPr="00426BB8">
        <w:t>erá apresentar, juntamente com às</w:t>
      </w:r>
      <w:r w:rsidRPr="00426BB8">
        <w:t xml:space="preserve"> </w:t>
      </w:r>
      <w:r w:rsidR="00902711" w:rsidRPr="00426BB8">
        <w:t>Notas Fiscais/Faturas</w:t>
      </w:r>
      <w:r w:rsidRPr="00426BB8">
        <w:t>, a devida comprovação</w:t>
      </w:r>
      <w:r w:rsidR="006A032C" w:rsidRPr="00426BB8">
        <w:t xml:space="preserve"> (DECLARAÇÃO)</w:t>
      </w:r>
      <w:r w:rsidRPr="00426BB8">
        <w:t>, a fim de evitar a retenção na fonte dos tributos e contribuições, conforme legislação em vigor.</w:t>
      </w:r>
    </w:p>
    <w:p w:rsidR="00234BF2" w:rsidRPr="00426BB8" w:rsidRDefault="00234BF2" w:rsidP="00F92CD7">
      <w:pPr>
        <w:pStyle w:val="Ttulo2"/>
      </w:pPr>
      <w:bookmarkStart w:id="19" w:name="_Hlk514078471"/>
      <w:r w:rsidRPr="00426BB8">
        <w:t>Eventual solicitação de reequilíbrio econômico-financeiro do contrato será analisada consoante os pressupostos da Teoria da Imprevisão, nos termos como dispõe o artigo 65, inciso II, alínea “d” da Lei nº 8.666/93.</w:t>
      </w:r>
    </w:p>
    <w:bookmarkEnd w:id="19"/>
    <w:p w:rsidR="00234BF2" w:rsidRPr="00426BB8" w:rsidRDefault="00234BF2" w:rsidP="00F92CD7">
      <w:pPr>
        <w:pStyle w:val="Ttulo2"/>
      </w:pPr>
      <w:r w:rsidRPr="00426BB8">
        <w:t>A</w:t>
      </w:r>
      <w:r w:rsidR="006F0F79" w:rsidRPr="00426BB8">
        <w:t>(s)</w:t>
      </w:r>
      <w:r w:rsidRPr="00426BB8">
        <w:t xml:space="preserve"> empresa</w:t>
      </w:r>
      <w:r w:rsidR="006F0F79" w:rsidRPr="00426BB8">
        <w:t>(s)</w:t>
      </w:r>
      <w:r w:rsidRPr="00426BB8">
        <w:t xml:space="preserve"> vencedora</w:t>
      </w:r>
      <w:r w:rsidR="006F0F79" w:rsidRPr="00426BB8">
        <w:t>(s)</w:t>
      </w:r>
      <w:r w:rsidRPr="00426BB8">
        <w:t xml:space="preserve"> </w:t>
      </w:r>
      <w:r w:rsidR="006F0F79" w:rsidRPr="00426BB8">
        <w:t>do(s)</w:t>
      </w:r>
      <w:r w:rsidR="006A032C" w:rsidRPr="00426BB8">
        <w:t xml:space="preserve"> itens, </w:t>
      </w:r>
      <w:r w:rsidRPr="00426BB8">
        <w:t>no certame</w:t>
      </w:r>
      <w:r w:rsidR="006A032C" w:rsidRPr="00426BB8">
        <w:t>,</w:t>
      </w:r>
      <w:r w:rsidRPr="00426BB8">
        <w:t xml:space="preserve"> se obriga</w:t>
      </w:r>
      <w:r w:rsidR="006F0F79" w:rsidRPr="00426BB8">
        <w:t>(m)</w:t>
      </w:r>
      <w:r w:rsidRPr="00426BB8">
        <w:t xml:space="preserve"> a mant</w:t>
      </w:r>
      <w:r w:rsidR="006F0F79" w:rsidRPr="00426BB8">
        <w:t>er, durante à vigência da Ata do Registro de Preço</w:t>
      </w:r>
      <w:r w:rsidRPr="00426BB8">
        <w:t>, todas as condições de habilitação e qualificação ora exigida, em compatibilidade com as obrigações por ela assumidas, na forma do inciso XIII do art. 55 da Lei 8.666/93.</w:t>
      </w:r>
    </w:p>
    <w:p w:rsidR="00234BF2" w:rsidRDefault="00234BF2" w:rsidP="00F92CD7">
      <w:pPr>
        <w:pStyle w:val="Ttulo2"/>
      </w:pPr>
      <w:r w:rsidRPr="00426BB8">
        <w:t xml:space="preserve">Será considerado em atraso o pagamento efetuado após o prazo estabelecido no subitem 9.2, caso em que a </w:t>
      </w:r>
      <w:r w:rsidR="006A032C" w:rsidRPr="00426BB8">
        <w:t>Codevasf</w:t>
      </w:r>
      <w:r w:rsidRPr="00426BB8">
        <w:t xml:space="preserve"> pagará atualização financeira, aplicando-se a seguinte fórmula:</w:t>
      </w:r>
    </w:p>
    <w:p w:rsidR="00D45970" w:rsidRPr="00D45970" w:rsidRDefault="00D45970" w:rsidP="00D45970"/>
    <w:p w:rsidR="00234BF2" w:rsidRPr="00426BB8" w:rsidRDefault="00234BF2" w:rsidP="001A51D1">
      <w:pPr>
        <w:ind w:left="567"/>
      </w:pPr>
      <w:r w:rsidRPr="00426BB8">
        <w:lastRenderedPageBreak/>
        <w:t>AM = P x I, onde:</w:t>
      </w:r>
    </w:p>
    <w:p w:rsidR="00234BF2" w:rsidRPr="00426BB8" w:rsidRDefault="00234BF2" w:rsidP="001A51D1">
      <w:pPr>
        <w:ind w:left="567"/>
        <w:rPr>
          <w:i/>
          <w:iCs/>
          <w:szCs w:val="21"/>
        </w:rPr>
      </w:pPr>
      <w:r w:rsidRPr="00426BB8">
        <w:rPr>
          <w:i/>
          <w:iCs/>
          <w:szCs w:val="21"/>
        </w:rPr>
        <w:t>AM = Atualização Monetária;</w:t>
      </w:r>
    </w:p>
    <w:p w:rsidR="00234BF2" w:rsidRPr="00426BB8" w:rsidRDefault="00234BF2" w:rsidP="001A51D1">
      <w:pPr>
        <w:ind w:left="567"/>
        <w:rPr>
          <w:i/>
          <w:iCs/>
          <w:szCs w:val="21"/>
        </w:rPr>
      </w:pPr>
      <w:r w:rsidRPr="00426BB8">
        <w:rPr>
          <w:i/>
          <w:iCs/>
          <w:szCs w:val="21"/>
        </w:rPr>
        <w:t>P = Valor da Parcela a ser paga; e</w:t>
      </w:r>
    </w:p>
    <w:p w:rsidR="00234BF2" w:rsidRPr="00426BB8" w:rsidRDefault="00234BF2" w:rsidP="001A51D1">
      <w:pPr>
        <w:ind w:left="567"/>
      </w:pPr>
      <w:r w:rsidRPr="00426BB8">
        <w:rPr>
          <w:i/>
          <w:iCs/>
          <w:szCs w:val="21"/>
        </w:rPr>
        <w:t xml:space="preserve">I = Percentual de atualização monetária, </w:t>
      </w:r>
      <w:r w:rsidRPr="00426BB8">
        <w:t>assim apurado:</w:t>
      </w:r>
    </w:p>
    <w:p w:rsidR="00234BF2" w:rsidRPr="00426BB8" w:rsidRDefault="00234BF2" w:rsidP="001A51D1">
      <w:pPr>
        <w:ind w:left="567"/>
      </w:pPr>
    </w:p>
    <w:p w:rsidR="00234BF2" w:rsidRPr="00426BB8" w:rsidRDefault="00234BF2" w:rsidP="001A51D1">
      <w:pPr>
        <w:ind w:left="567"/>
        <w:rPr>
          <w:lang w:val="de-DE"/>
        </w:rPr>
      </w:pPr>
      <w:r w:rsidRPr="00426BB8">
        <w:rPr>
          <w:lang w:val="de-DE"/>
        </w:rPr>
        <w:t>I = (1+im</w:t>
      </w:r>
      <w:r w:rsidRPr="00426BB8">
        <w:rPr>
          <w:szCs w:val="16"/>
          <w:lang w:val="de-DE"/>
        </w:rPr>
        <w:t>1</w:t>
      </w:r>
      <w:r w:rsidRPr="00426BB8">
        <w:rPr>
          <w:szCs w:val="21"/>
          <w:lang w:val="de-DE"/>
        </w:rPr>
        <w:t>/100</w:t>
      </w:r>
      <w:r w:rsidRPr="00426BB8">
        <w:rPr>
          <w:lang w:val="de-DE"/>
        </w:rPr>
        <w:t>)</w:t>
      </w:r>
      <w:r w:rsidRPr="00426BB8">
        <w:rPr>
          <w:szCs w:val="16"/>
          <w:vertAlign w:val="superscript"/>
          <w:lang w:val="de-DE"/>
        </w:rPr>
        <w:t>dx</w:t>
      </w:r>
      <w:r w:rsidRPr="00426BB8">
        <w:rPr>
          <w:szCs w:val="13"/>
          <w:vertAlign w:val="superscript"/>
          <w:lang w:val="de-DE"/>
        </w:rPr>
        <w:t>1</w:t>
      </w:r>
      <w:r w:rsidRPr="00426BB8">
        <w:rPr>
          <w:szCs w:val="16"/>
          <w:vertAlign w:val="superscript"/>
          <w:lang w:val="de-DE"/>
        </w:rPr>
        <w:t>/30</w:t>
      </w:r>
      <w:r w:rsidRPr="00426BB8">
        <w:rPr>
          <w:szCs w:val="16"/>
          <w:lang w:val="de-DE"/>
        </w:rPr>
        <w:t xml:space="preserve"> x </w:t>
      </w:r>
      <w:r w:rsidRPr="00426BB8">
        <w:rPr>
          <w:lang w:val="de-DE"/>
        </w:rPr>
        <w:t>(1+im</w:t>
      </w:r>
      <w:r w:rsidRPr="00426BB8">
        <w:rPr>
          <w:szCs w:val="16"/>
          <w:lang w:val="de-DE"/>
        </w:rPr>
        <w:t>2</w:t>
      </w:r>
      <w:r w:rsidRPr="00426BB8">
        <w:rPr>
          <w:szCs w:val="21"/>
          <w:lang w:val="de-DE"/>
        </w:rPr>
        <w:t>/100</w:t>
      </w:r>
      <w:r w:rsidRPr="00426BB8">
        <w:rPr>
          <w:lang w:val="de-DE"/>
        </w:rPr>
        <w:t>)</w:t>
      </w:r>
      <w:r w:rsidRPr="00426BB8">
        <w:rPr>
          <w:szCs w:val="16"/>
          <w:vertAlign w:val="superscript"/>
          <w:lang w:val="de-DE"/>
        </w:rPr>
        <w:t>dx</w:t>
      </w:r>
      <w:r w:rsidRPr="00426BB8">
        <w:rPr>
          <w:szCs w:val="13"/>
          <w:vertAlign w:val="superscript"/>
          <w:lang w:val="de-DE"/>
        </w:rPr>
        <w:t>2</w:t>
      </w:r>
      <w:r w:rsidRPr="00426BB8">
        <w:rPr>
          <w:szCs w:val="16"/>
          <w:vertAlign w:val="superscript"/>
          <w:lang w:val="de-DE"/>
        </w:rPr>
        <w:t>/30</w:t>
      </w:r>
      <w:r w:rsidRPr="00426BB8">
        <w:rPr>
          <w:szCs w:val="16"/>
          <w:lang w:val="de-DE"/>
        </w:rPr>
        <w:t xml:space="preserve"> x ... x </w:t>
      </w:r>
      <w:r w:rsidRPr="00426BB8">
        <w:rPr>
          <w:lang w:val="de-DE"/>
        </w:rPr>
        <w:t>(1+im</w:t>
      </w:r>
      <w:r w:rsidRPr="00426BB8">
        <w:rPr>
          <w:szCs w:val="16"/>
          <w:lang w:val="de-DE"/>
        </w:rPr>
        <w:t>n</w:t>
      </w:r>
      <w:r w:rsidRPr="00426BB8">
        <w:rPr>
          <w:szCs w:val="21"/>
          <w:lang w:val="de-DE"/>
        </w:rPr>
        <w:t>/100</w:t>
      </w:r>
      <w:r w:rsidRPr="00426BB8">
        <w:rPr>
          <w:lang w:val="de-DE"/>
        </w:rPr>
        <w:t>)</w:t>
      </w:r>
      <w:r w:rsidRPr="00426BB8">
        <w:rPr>
          <w:szCs w:val="16"/>
          <w:vertAlign w:val="superscript"/>
          <w:lang w:val="de-DE"/>
        </w:rPr>
        <w:t>dx</w:t>
      </w:r>
      <w:r w:rsidRPr="00426BB8">
        <w:rPr>
          <w:szCs w:val="13"/>
          <w:vertAlign w:val="superscript"/>
          <w:lang w:val="de-DE"/>
        </w:rPr>
        <w:t>n</w:t>
      </w:r>
      <w:r w:rsidRPr="00426BB8">
        <w:rPr>
          <w:szCs w:val="16"/>
          <w:vertAlign w:val="superscript"/>
          <w:lang w:val="de-DE"/>
        </w:rPr>
        <w:t>/30</w:t>
      </w:r>
      <w:r w:rsidRPr="00426BB8">
        <w:rPr>
          <w:szCs w:val="16"/>
          <w:lang w:val="de-DE"/>
        </w:rPr>
        <w:t xml:space="preserve"> </w:t>
      </w:r>
      <w:r w:rsidRPr="00426BB8">
        <w:rPr>
          <w:lang w:val="de-DE"/>
        </w:rPr>
        <w:t>- 1, onde:</w:t>
      </w:r>
    </w:p>
    <w:p w:rsidR="00234BF2" w:rsidRPr="00426BB8" w:rsidRDefault="00234BF2" w:rsidP="001A51D1">
      <w:pPr>
        <w:ind w:left="567"/>
        <w:rPr>
          <w:lang w:val="de-DE"/>
        </w:rPr>
      </w:pPr>
    </w:p>
    <w:p w:rsidR="00234BF2" w:rsidRPr="00426BB8" w:rsidRDefault="00234BF2" w:rsidP="001A51D1">
      <w:pPr>
        <w:ind w:left="567"/>
        <w:rPr>
          <w:i/>
          <w:iCs/>
          <w:szCs w:val="21"/>
        </w:rPr>
      </w:pPr>
      <w:r w:rsidRPr="00426BB8">
        <w:rPr>
          <w:i/>
          <w:iCs/>
          <w:szCs w:val="21"/>
        </w:rPr>
        <w:t>i = Variação do Índice de Preço ao Consumidor Amplo - IPCA no mês “m”;</w:t>
      </w:r>
    </w:p>
    <w:p w:rsidR="00234BF2" w:rsidRPr="00426BB8" w:rsidRDefault="00234BF2" w:rsidP="001A51D1">
      <w:pPr>
        <w:ind w:left="567"/>
        <w:rPr>
          <w:i/>
          <w:iCs/>
          <w:szCs w:val="21"/>
        </w:rPr>
      </w:pPr>
      <w:r w:rsidRPr="00426BB8">
        <w:rPr>
          <w:i/>
          <w:iCs/>
          <w:szCs w:val="21"/>
        </w:rPr>
        <w:t>d = Número de dias em atraso no mês “m”;</w:t>
      </w:r>
    </w:p>
    <w:p w:rsidR="00FF571D" w:rsidRDefault="00234BF2" w:rsidP="00D45970">
      <w:pPr>
        <w:ind w:left="567"/>
        <w:rPr>
          <w:i/>
          <w:iCs/>
          <w:szCs w:val="21"/>
        </w:rPr>
      </w:pPr>
      <w:r w:rsidRPr="00426BB8">
        <w:rPr>
          <w:i/>
          <w:iCs/>
          <w:szCs w:val="21"/>
        </w:rPr>
        <w:t>m = Meses considerados para o cálculo da atualização monetária</w:t>
      </w:r>
    </w:p>
    <w:p w:rsidR="00D45970" w:rsidRDefault="00D45970" w:rsidP="00D45970">
      <w:pPr>
        <w:ind w:left="567"/>
        <w:rPr>
          <w:i/>
          <w:iCs/>
          <w:szCs w:val="21"/>
        </w:rPr>
      </w:pPr>
    </w:p>
    <w:p w:rsidR="00D45970" w:rsidRDefault="00D45970" w:rsidP="00D45970">
      <w:pPr>
        <w:ind w:left="567"/>
        <w:rPr>
          <w:i/>
          <w:iCs/>
          <w:szCs w:val="21"/>
        </w:rPr>
      </w:pPr>
    </w:p>
    <w:p w:rsidR="00234BF2" w:rsidRPr="00426BB8" w:rsidRDefault="00234BF2" w:rsidP="00D45970">
      <w:pPr>
        <w:pStyle w:val="Ttulo2"/>
      </w:pPr>
      <w:r w:rsidRPr="00426BB8">
        <w:lastRenderedPageBreak/>
        <w:t>Não sendo conhecido o índice para o período, será utilizado no cálculo, o último índice conhecido.</w:t>
      </w:r>
    </w:p>
    <w:p w:rsidR="00234BF2" w:rsidRPr="00426BB8" w:rsidRDefault="00234BF2" w:rsidP="00F92CD7">
      <w:pPr>
        <w:pStyle w:val="Ttulo2"/>
      </w:pPr>
      <w:r w:rsidRPr="00426BB8">
        <w:t>Quando utilizar o último índice conhecido, o cálculo do valor ajustado será procedido tão logo seja publicado o índice definitivo correspondente ao período de atraso. Não caberá qualquer remuneração a título de correção monetária para pagamento decorrente do acerto de índice.</w:t>
      </w:r>
    </w:p>
    <w:p w:rsidR="00234BF2" w:rsidRPr="00426BB8" w:rsidRDefault="00234BF2" w:rsidP="00F92CD7">
      <w:pPr>
        <w:pStyle w:val="Ttulo1"/>
      </w:pPr>
      <w:bookmarkStart w:id="20" w:name="_Toc519085883"/>
      <w:r w:rsidRPr="00426BB8">
        <w:t>CONDIÇÕES DE RECEBIMENTO E FISCALIZAÇÃO DO OBJETO DA LICITAÇÃO</w:t>
      </w:r>
      <w:bookmarkEnd w:id="20"/>
    </w:p>
    <w:p w:rsidR="00234BF2" w:rsidRPr="00426BB8" w:rsidRDefault="00234BF2" w:rsidP="00F92CD7">
      <w:pPr>
        <w:pStyle w:val="Ttulo2"/>
      </w:pPr>
      <w:r w:rsidRPr="00426BB8">
        <w:t xml:space="preserve">A fiscalização dos recebimentos </w:t>
      </w:r>
      <w:r w:rsidR="0016613F" w:rsidRPr="00426BB8">
        <w:t>será pro</w:t>
      </w:r>
      <w:r w:rsidR="004B62A4" w:rsidRPr="00426BB8">
        <w:t>c</w:t>
      </w:r>
      <w:r w:rsidR="0016613F" w:rsidRPr="00426BB8">
        <w:t>edido</w:t>
      </w:r>
      <w:r w:rsidRPr="00426BB8">
        <w:t xml:space="preserve"> diretamente pela </w:t>
      </w:r>
      <w:r w:rsidR="003B30C8">
        <w:t>3</w:t>
      </w:r>
      <w:r w:rsidR="0016613F" w:rsidRPr="00426BB8">
        <w:t xml:space="preserve">ª </w:t>
      </w:r>
      <w:r w:rsidR="001B156C">
        <w:t>SR</w:t>
      </w:r>
      <w:r w:rsidR="0016613F" w:rsidRPr="00426BB8">
        <w:t xml:space="preserve">, através de servidor (Fiscal da Ata Registro de Preço), </w:t>
      </w:r>
      <w:r w:rsidRPr="00426BB8">
        <w:t xml:space="preserve">formalmente designado na forma do art. 67 da Lei nº 8.666/93, </w:t>
      </w:r>
      <w:r w:rsidR="008A3E22" w:rsidRPr="00426BB8">
        <w:t>a quem competirá verificar se a empresa contratada</w:t>
      </w:r>
      <w:r w:rsidRPr="00426BB8">
        <w:t xml:space="preserve"> est</w:t>
      </w:r>
      <w:r w:rsidR="008A3E22" w:rsidRPr="00426BB8">
        <w:t>ará executando o(s) fornecimento(s) estabelecida(s) na(s) Ordem(ns) de Fornecimento, em conformidade com a Ata do Registro de Preço</w:t>
      </w:r>
      <w:r w:rsidRPr="00426BB8">
        <w:t>.</w:t>
      </w:r>
    </w:p>
    <w:p w:rsidR="00234BF2" w:rsidRPr="00426BB8" w:rsidRDefault="00234BF2" w:rsidP="00F92CD7">
      <w:pPr>
        <w:pStyle w:val="Ttulo2"/>
      </w:pPr>
      <w:r w:rsidRPr="00426BB8">
        <w:t>Os bens</w:t>
      </w:r>
      <w:r w:rsidR="00EF01B0" w:rsidRPr="00426BB8">
        <w:t>,</w:t>
      </w:r>
      <w:r w:rsidRPr="00426BB8">
        <w:t xml:space="preserve"> objeto da presente licitação</w:t>
      </w:r>
      <w:r w:rsidR="00EF01B0" w:rsidRPr="00426BB8">
        <w:t>,</w:t>
      </w:r>
      <w:r w:rsidRPr="00426BB8">
        <w:t xml:space="preserve"> serão recebidos das seguintes formas:</w:t>
      </w:r>
    </w:p>
    <w:p w:rsidR="00234BF2" w:rsidRPr="00426BB8" w:rsidRDefault="00234BF2" w:rsidP="003D2F92">
      <w:pPr>
        <w:pStyle w:val="Ttulo3"/>
        <w:numPr>
          <w:ilvl w:val="2"/>
          <w:numId w:val="6"/>
        </w:numPr>
        <w:tabs>
          <w:tab w:val="clear" w:pos="720"/>
          <w:tab w:val="num" w:pos="1276"/>
        </w:tabs>
        <w:ind w:left="993" w:firstLine="0"/>
      </w:pPr>
      <w:r w:rsidRPr="001B156C">
        <w:rPr>
          <w:b/>
        </w:rPr>
        <w:t>Provisória:</w:t>
      </w:r>
      <w:r w:rsidRPr="00426BB8">
        <w:t xml:space="preserve"> mediante</w:t>
      </w:r>
      <w:r w:rsidR="0016613F" w:rsidRPr="00426BB8">
        <w:t xml:space="preserve"> apresentação de recibo, </w:t>
      </w:r>
      <w:r w:rsidR="001B156C">
        <w:t xml:space="preserve">por qualquer empregado da codevasf </w:t>
      </w:r>
      <w:r w:rsidR="001B156C" w:rsidRPr="00426BB8">
        <w:t xml:space="preserve">imediatamente após a entrega, </w:t>
      </w:r>
      <w:r w:rsidRPr="00426BB8">
        <w:t>para efeito e posterior verificação da conformidade do bem com as especificações;</w:t>
      </w:r>
    </w:p>
    <w:p w:rsidR="00234BF2" w:rsidRPr="00426BB8" w:rsidRDefault="00234BF2" w:rsidP="003D2F92">
      <w:pPr>
        <w:pStyle w:val="Ttulo3"/>
        <w:numPr>
          <w:ilvl w:val="2"/>
          <w:numId w:val="6"/>
        </w:numPr>
        <w:tabs>
          <w:tab w:val="clear" w:pos="720"/>
          <w:tab w:val="num" w:pos="1276"/>
        </w:tabs>
        <w:ind w:left="993" w:firstLine="0"/>
      </w:pPr>
      <w:r w:rsidRPr="001B156C">
        <w:rPr>
          <w:b/>
        </w:rPr>
        <w:t>Definitiva:</w:t>
      </w:r>
      <w:r w:rsidRPr="00426BB8">
        <w:t xml:space="preserve"> </w:t>
      </w:r>
      <w:r w:rsidR="0016613F" w:rsidRPr="00426BB8">
        <w:t>mediante apresentação de Nota Fiscal/Fatura</w:t>
      </w:r>
      <w:r w:rsidRPr="00426BB8">
        <w:t>, em até cinco dias úteis após o recebimento provisório, após a verificação da qualidade e quantidade do bem</w:t>
      </w:r>
      <w:r w:rsidR="001B156C">
        <w:t xml:space="preserve"> pelo setor técnico</w:t>
      </w:r>
      <w:r w:rsidRPr="00426BB8">
        <w:t xml:space="preserve">, ocasião em que se fará constar o atesto da </w:t>
      </w:r>
      <w:r w:rsidR="0016613F" w:rsidRPr="00426BB8">
        <w:t>Nota Fiscal/Fatura.</w:t>
      </w:r>
    </w:p>
    <w:p w:rsidR="00234BF2" w:rsidRPr="00426BB8" w:rsidRDefault="00234BF2" w:rsidP="00F92CD7">
      <w:pPr>
        <w:pStyle w:val="Ttulo2"/>
      </w:pPr>
      <w:r w:rsidRPr="00426BB8">
        <w:t>O</w:t>
      </w:r>
      <w:r w:rsidR="00E15ECB" w:rsidRPr="00426BB8">
        <w:t>(s)</w:t>
      </w:r>
      <w:r w:rsidRPr="00426BB8">
        <w:t xml:space="preserve"> bem</w:t>
      </w:r>
      <w:r w:rsidR="00E15ECB" w:rsidRPr="00426BB8">
        <w:t>(ns)</w:t>
      </w:r>
      <w:r w:rsidRPr="00426BB8">
        <w:t xml:space="preserve"> entregue</w:t>
      </w:r>
      <w:r w:rsidR="00E15ECB" w:rsidRPr="00426BB8">
        <w:t>(s)</w:t>
      </w:r>
      <w:r w:rsidRPr="00426BB8">
        <w:t xml:space="preserve"> em desconformidade com o especificado no instrumento convocatório </w:t>
      </w:r>
      <w:r w:rsidR="00E15ECB" w:rsidRPr="00426BB8">
        <w:t>(Ordem de Fornecimento) conforme consta da Ata do Registro de Preço,</w:t>
      </w:r>
      <w:r w:rsidRPr="00426BB8">
        <w:t xml:space="preserve"> será rejeitado parcial ou totalmente, conforme o caso, e a </w:t>
      </w:r>
      <w:r w:rsidR="00E15ECB" w:rsidRPr="00426BB8">
        <w:t xml:space="preserve">licitante/vencedora </w:t>
      </w:r>
      <w:r w:rsidRPr="00426BB8">
        <w:t>será obrigada a substituí-lo no prazo máximo de 15 (quinze) dias, contado da data do recebimento de notificação escrita necessariamente</w:t>
      </w:r>
      <w:r w:rsidR="001B156C">
        <w:t xml:space="preserve"> </w:t>
      </w:r>
      <w:r w:rsidRPr="00426BB8">
        <w:t>aco</w:t>
      </w:r>
      <w:r w:rsidR="004B62A4" w:rsidRPr="00426BB8">
        <w:t>mpanhada do Termo de Recusa de B</w:t>
      </w:r>
      <w:r w:rsidRPr="00426BB8">
        <w:t>em, sob pena de incorrer em atraso quanto ao prazo de execução.</w:t>
      </w:r>
    </w:p>
    <w:p w:rsidR="00234BF2" w:rsidRPr="007213D3" w:rsidRDefault="00234BF2" w:rsidP="003D2F92">
      <w:pPr>
        <w:pStyle w:val="Textonumerado"/>
        <w:numPr>
          <w:ilvl w:val="1"/>
          <w:numId w:val="4"/>
        </w:numPr>
      </w:pPr>
      <w:r w:rsidRPr="007213D3">
        <w:t>Essa notificação interrompe os prazos de recebimento e de pagamento até que a irregularidade seja sanada.</w:t>
      </w:r>
    </w:p>
    <w:p w:rsidR="00234BF2" w:rsidRPr="007213D3" w:rsidRDefault="00234BF2" w:rsidP="003D2F92">
      <w:pPr>
        <w:pStyle w:val="Textonumerado"/>
        <w:numPr>
          <w:ilvl w:val="1"/>
          <w:numId w:val="4"/>
        </w:numPr>
      </w:pPr>
      <w:r w:rsidRPr="007213D3">
        <w:t xml:space="preserve">A </w:t>
      </w:r>
      <w:r w:rsidR="00E15ECB" w:rsidRPr="007213D3">
        <w:t>licitante/vencedora</w:t>
      </w:r>
      <w:r w:rsidRPr="007213D3">
        <w:t xml:space="preserve"> ficará obrigada a substituir, às suas expensas, o material que vier a ser recusado.</w:t>
      </w:r>
    </w:p>
    <w:p w:rsidR="00234BF2" w:rsidRPr="007213D3" w:rsidRDefault="00234BF2" w:rsidP="003D2F92">
      <w:pPr>
        <w:pStyle w:val="Textonumerado"/>
        <w:numPr>
          <w:ilvl w:val="1"/>
          <w:numId w:val="4"/>
        </w:numPr>
      </w:pPr>
      <w:r w:rsidRPr="007213D3">
        <w:t>Serão recusados apenas os itens da Nota de Empenho ou Ordem de Fornecimento que estiverem em desacordo.</w:t>
      </w:r>
    </w:p>
    <w:p w:rsidR="00234BF2" w:rsidRPr="007213D3" w:rsidRDefault="00234BF2" w:rsidP="003D2F92">
      <w:pPr>
        <w:pStyle w:val="Textonumerado"/>
        <w:numPr>
          <w:ilvl w:val="1"/>
          <w:numId w:val="4"/>
        </w:numPr>
      </w:pPr>
      <w:r w:rsidRPr="007213D3">
        <w:t xml:space="preserve">Quando a recusa for parcial, será estabelecido um prazo de </w:t>
      </w:r>
      <w:r w:rsidR="004B62A4" w:rsidRPr="007213D3">
        <w:t>1 (</w:t>
      </w:r>
      <w:r w:rsidRPr="007213D3">
        <w:t>um</w:t>
      </w:r>
      <w:r w:rsidR="004B62A4" w:rsidRPr="007213D3">
        <w:t>)</w:t>
      </w:r>
      <w:r w:rsidRPr="007213D3">
        <w:t xml:space="preserve"> a </w:t>
      </w:r>
      <w:r w:rsidR="004B62A4" w:rsidRPr="007213D3">
        <w:t>3 (</w:t>
      </w:r>
      <w:r w:rsidRPr="007213D3">
        <w:t>três</w:t>
      </w:r>
      <w:r w:rsidR="004B62A4" w:rsidRPr="007213D3">
        <w:t>)</w:t>
      </w:r>
      <w:r w:rsidRPr="007213D3">
        <w:t xml:space="preserve"> dias úteis para a substituição da </w:t>
      </w:r>
      <w:r w:rsidR="004B62A4" w:rsidRPr="007213D3">
        <w:t xml:space="preserve">Nota Fiscal/Fatura </w:t>
      </w:r>
      <w:r w:rsidRPr="007213D3">
        <w:t xml:space="preserve">por outra contendo </w:t>
      </w:r>
      <w:r w:rsidR="004B62A4" w:rsidRPr="007213D3">
        <w:t xml:space="preserve">apenas os itens aprovados pela </w:t>
      </w:r>
      <w:r w:rsidR="001A51D1">
        <w:t>3</w:t>
      </w:r>
      <w:r w:rsidR="004B62A4" w:rsidRPr="007213D3">
        <w:t>ª Superintendência Regional da Codevasf</w:t>
      </w:r>
      <w:r w:rsidRPr="007213D3">
        <w:t>.</w:t>
      </w:r>
    </w:p>
    <w:p w:rsidR="00234BF2" w:rsidRPr="007213D3" w:rsidRDefault="00234BF2" w:rsidP="003D2F92">
      <w:pPr>
        <w:pStyle w:val="Textonumerado"/>
        <w:numPr>
          <w:ilvl w:val="1"/>
          <w:numId w:val="4"/>
        </w:numPr>
      </w:pPr>
      <w:r w:rsidRPr="007213D3">
        <w:lastRenderedPageBreak/>
        <w:t xml:space="preserve">A </w:t>
      </w:r>
      <w:r w:rsidR="00E15ECB" w:rsidRPr="007213D3">
        <w:t>licitante/vencedora</w:t>
      </w:r>
      <w:r w:rsidRPr="007213D3">
        <w:t xml:space="preserve"> deverá retirar o material recusado no momento da entrega do material correto. A </w:t>
      </w:r>
      <w:r w:rsidR="004B62A4" w:rsidRPr="007213D3">
        <w:t>Codevasf</w:t>
      </w:r>
      <w:r w:rsidRPr="007213D3">
        <w:t xml:space="preserve"> não se responsabilizará por qualquer dano ou prejuízo que venha a ocorrer após esse prazo.</w:t>
      </w:r>
    </w:p>
    <w:p w:rsidR="00234BF2" w:rsidRPr="00426BB8" w:rsidRDefault="00234BF2" w:rsidP="00F92CD7">
      <w:pPr>
        <w:pStyle w:val="Ttulo2"/>
      </w:pPr>
      <w:r w:rsidRPr="00426BB8">
        <w:t xml:space="preserve">A </w:t>
      </w:r>
      <w:r w:rsidR="001B156C">
        <w:t>3ª SR</w:t>
      </w:r>
      <w:r w:rsidR="004B62A4" w:rsidRPr="00426BB8">
        <w:t xml:space="preserve"> </w:t>
      </w:r>
      <w:r w:rsidRPr="00426BB8">
        <w:t>poderá dar a destinação que julgar conveniente ao material abandonado em suas dependências.</w:t>
      </w:r>
    </w:p>
    <w:p w:rsidR="00234BF2" w:rsidRPr="00426BB8" w:rsidRDefault="004B62A4" w:rsidP="00F92CD7">
      <w:pPr>
        <w:pStyle w:val="Ttulo2"/>
      </w:pPr>
      <w:r w:rsidRPr="00426BB8">
        <w:t>Independente</w:t>
      </w:r>
      <w:r w:rsidR="00234BF2" w:rsidRPr="00426BB8">
        <w:t xml:space="preserve"> da aceitação, a </w:t>
      </w:r>
      <w:r w:rsidR="00E15ECB" w:rsidRPr="00426BB8">
        <w:t xml:space="preserve">licitante/vencedora da Ata do Registro de Preço </w:t>
      </w:r>
      <w:r w:rsidR="00234BF2" w:rsidRPr="00426BB8">
        <w:t>garantirá a qualidade do bem pelo prazo estabelecido no item 10.1, e estará obrigada a substituir aquele que não estiver de acordo com o especificado</w:t>
      </w:r>
      <w:r w:rsidRPr="00426BB8">
        <w:t xml:space="preserve"> no </w:t>
      </w:r>
      <w:r w:rsidR="00ED77D8" w:rsidRPr="00426BB8">
        <w:t>anexo 1</w:t>
      </w:r>
      <w:r w:rsidRPr="00426BB8">
        <w:t xml:space="preserve"> deste Termo de Referência</w:t>
      </w:r>
      <w:r w:rsidR="00234BF2" w:rsidRPr="00426BB8">
        <w:t>.</w:t>
      </w:r>
    </w:p>
    <w:p w:rsidR="00234BF2" w:rsidRPr="00426BB8" w:rsidRDefault="00234BF2" w:rsidP="00F92CD7">
      <w:pPr>
        <w:pStyle w:val="Ttulo2"/>
      </w:pPr>
      <w:r w:rsidRPr="00426BB8">
        <w:t>As aquisições obedecerão à conveniênc</w:t>
      </w:r>
      <w:r w:rsidR="00355AE0" w:rsidRPr="00426BB8">
        <w:t>ia e às necessidades da Codevasf</w:t>
      </w:r>
      <w:r w:rsidRPr="00426BB8">
        <w:t>, a qual não está obrigada a firm</w:t>
      </w:r>
      <w:r w:rsidR="00355AE0" w:rsidRPr="00426BB8">
        <w:t>ar as contratações advindas deste Registro de P</w:t>
      </w:r>
      <w:r w:rsidRPr="00426BB8">
        <w:t xml:space="preserve">reços, e fica facultada a realização de licitação específica para a aquisição pretendida e assegurada ao beneficiário do </w:t>
      </w:r>
      <w:r w:rsidR="00355AE0" w:rsidRPr="00426BB8">
        <w:t>Registro de Preços</w:t>
      </w:r>
      <w:r w:rsidRPr="00426BB8">
        <w:t xml:space="preserve"> a preferência de fornecimento em igualdade de condições.</w:t>
      </w:r>
    </w:p>
    <w:p w:rsidR="00234BF2" w:rsidRPr="00426BB8" w:rsidRDefault="00234BF2" w:rsidP="00F92CD7">
      <w:pPr>
        <w:pStyle w:val="Ttulo2"/>
      </w:pPr>
      <w:r w:rsidRPr="00426BB8">
        <w:t xml:space="preserve">Quando necessário, serão efetuados testes por amostragem para avaliação dos produtos, utilizando uma quantidade entre </w:t>
      </w:r>
      <w:r w:rsidR="00355AE0" w:rsidRPr="00426BB8">
        <w:t>1 (</w:t>
      </w:r>
      <w:r w:rsidRPr="00426BB8">
        <w:t>um</w:t>
      </w:r>
      <w:r w:rsidR="00355AE0" w:rsidRPr="00426BB8">
        <w:t>)</w:t>
      </w:r>
      <w:r w:rsidRPr="00426BB8">
        <w:t xml:space="preserve"> e </w:t>
      </w:r>
      <w:r w:rsidR="00355AE0" w:rsidRPr="00426BB8">
        <w:t>10 (</w:t>
      </w:r>
      <w:r w:rsidRPr="00426BB8">
        <w:t>dez</w:t>
      </w:r>
      <w:r w:rsidR="00355AE0" w:rsidRPr="00426BB8">
        <w:t>)</w:t>
      </w:r>
      <w:r w:rsidRPr="00426BB8">
        <w:t xml:space="preserve"> por cento de cada item do empenho escolhidos aleatoriamente.</w:t>
      </w:r>
    </w:p>
    <w:p w:rsidR="00234BF2" w:rsidRPr="00426BB8" w:rsidRDefault="00234BF2" w:rsidP="00F92CD7">
      <w:pPr>
        <w:pStyle w:val="Ttulo2"/>
      </w:pPr>
      <w:r w:rsidRPr="00426BB8">
        <w:t xml:space="preserve">Caso seja necessário, um representante </w:t>
      </w:r>
      <w:r w:rsidR="00E15ECB" w:rsidRPr="00426BB8">
        <w:t xml:space="preserve">a licitante/vencedora da Ata do Registro de Preço </w:t>
      </w:r>
      <w:r w:rsidRPr="00426BB8">
        <w:t>poderá ser convocado para acompanhar o recebimento dos materiais, sendo a conferência efetuada na presença de testemunhas</w:t>
      </w:r>
      <w:r w:rsidR="00355AE0" w:rsidRPr="00426BB8">
        <w:t>,</w:t>
      </w:r>
      <w:r w:rsidRPr="00426BB8">
        <w:t xml:space="preserve"> em caso de não comparecimento.</w:t>
      </w:r>
    </w:p>
    <w:p w:rsidR="00234BF2" w:rsidRPr="00426BB8" w:rsidRDefault="00355AE0" w:rsidP="00F92CD7">
      <w:pPr>
        <w:pStyle w:val="Ttulo2"/>
      </w:pPr>
      <w:r w:rsidRPr="00426BB8">
        <w:t>O</w:t>
      </w:r>
      <w:r w:rsidR="00234BF2" w:rsidRPr="00426BB8">
        <w:t xml:space="preserve"> </w:t>
      </w:r>
      <w:r w:rsidRPr="00426BB8">
        <w:t>Fiscal da Ata Registro de Preço</w:t>
      </w:r>
      <w:r w:rsidR="00234BF2" w:rsidRPr="00426BB8">
        <w:t xml:space="preserve"> terá podere</w:t>
      </w:r>
      <w:r w:rsidR="00E15ECB" w:rsidRPr="00426BB8">
        <w:t>s para agir e decidir perante a licitante/vencedora da Ata do Registro de Preço</w:t>
      </w:r>
      <w:r w:rsidR="00234BF2" w:rsidRPr="00426BB8">
        <w:t>, inclusive rejeitando produtos que estiverem em desacordo com o Contrato, com as Normas Técnicas da ABNT e com a melhor técnica consagrada pelo uso, obrigando-se desde já a Contratada a asseg</w:t>
      </w:r>
      <w:r w:rsidRPr="00426BB8">
        <w:t>urar e a facilitar o acesso da f</w:t>
      </w:r>
      <w:r w:rsidR="00234BF2" w:rsidRPr="00426BB8">
        <w:t xml:space="preserve">iscalização aos </w:t>
      </w:r>
      <w:r w:rsidRPr="00426BB8">
        <w:t>produtos em aquisição (</w:t>
      </w:r>
      <w:r w:rsidR="003A7B87" w:rsidRPr="00426BB8">
        <w:t xml:space="preserve">máquinas </w:t>
      </w:r>
      <w:r w:rsidR="003A7B87" w:rsidRPr="003B30C8">
        <w:t>e</w:t>
      </w:r>
      <w:r w:rsidR="003A7B87" w:rsidRPr="00426BB8">
        <w:t xml:space="preserve"> equipamentos</w:t>
      </w:r>
      <w:r w:rsidRPr="00426BB8">
        <w:t xml:space="preserve">) </w:t>
      </w:r>
      <w:r w:rsidR="00234BF2" w:rsidRPr="00426BB8">
        <w:t xml:space="preserve">e a todos os </w:t>
      </w:r>
      <w:r w:rsidRPr="00426BB8">
        <w:t xml:space="preserve">demais </w:t>
      </w:r>
      <w:r w:rsidR="00234BF2" w:rsidRPr="00426BB8">
        <w:t xml:space="preserve">elementos que </w:t>
      </w:r>
      <w:r w:rsidRPr="00426BB8">
        <w:t>se fizerem necessários ao fornecimento pela</w:t>
      </w:r>
      <w:r w:rsidR="00BA796E" w:rsidRPr="00426BB8">
        <w:t>(s)</w:t>
      </w:r>
      <w:r w:rsidR="00E15ECB" w:rsidRPr="00426BB8">
        <w:t xml:space="preserve"> empresa(s) c</w:t>
      </w:r>
      <w:r w:rsidRPr="00426BB8">
        <w:t>ontratada</w:t>
      </w:r>
      <w:r w:rsidR="00BA796E" w:rsidRPr="00426BB8">
        <w:t>(s)</w:t>
      </w:r>
      <w:r w:rsidRPr="00426BB8">
        <w:t xml:space="preserve"> dos bens em aquisição</w:t>
      </w:r>
      <w:r w:rsidR="00234BF2" w:rsidRPr="00426BB8">
        <w:t>.</w:t>
      </w:r>
    </w:p>
    <w:p w:rsidR="00234BF2" w:rsidRPr="00426BB8" w:rsidRDefault="00355AE0" w:rsidP="00F92CD7">
      <w:pPr>
        <w:pStyle w:val="Ttulo2"/>
      </w:pPr>
      <w:r w:rsidRPr="00426BB8">
        <w:t xml:space="preserve">O Fiscal da Ata Registro de Preço </w:t>
      </w:r>
      <w:r w:rsidR="00234BF2" w:rsidRPr="00426BB8">
        <w:t>terá plenos poderes para sustar qualquer fornecimento que não esteja sendo executado dentro dos termos do Contrato, dando conhecimento do fato à autoridade competente.</w:t>
      </w:r>
    </w:p>
    <w:p w:rsidR="00234BF2" w:rsidRPr="00426BB8" w:rsidRDefault="00234BF2" w:rsidP="00F92CD7">
      <w:pPr>
        <w:pStyle w:val="Ttulo2"/>
      </w:pPr>
      <w:r w:rsidRPr="00426BB8">
        <w:t xml:space="preserve">Cabe </w:t>
      </w:r>
      <w:r w:rsidR="00BA796E" w:rsidRPr="00426BB8">
        <w:t xml:space="preserve">ao Fiscal da Ata Registro de Preço </w:t>
      </w:r>
      <w:r w:rsidRPr="00426BB8">
        <w:t>verificar a ocorrência de fatos para os quais haja sido estipulada qualquer penal</w:t>
      </w:r>
      <w:r w:rsidR="00BA796E" w:rsidRPr="00426BB8">
        <w:t>idade contratual. O Fiscal</w:t>
      </w:r>
      <w:r w:rsidRPr="00426BB8">
        <w:t xml:space="preserve"> informará ao setor competente quanto ao fato, instruindo o seu relatório com os documentos necessários, e em caso de multa, a indicação do seu valor.</w:t>
      </w:r>
    </w:p>
    <w:p w:rsidR="00234BF2" w:rsidRPr="00426BB8" w:rsidRDefault="00BA796E" w:rsidP="00F92CD7">
      <w:pPr>
        <w:pStyle w:val="Ttulo2"/>
      </w:pPr>
      <w:r w:rsidRPr="00426BB8">
        <w:t>Das decisões do Fiscal da Ata Registro de Preço</w:t>
      </w:r>
      <w:r w:rsidR="00234BF2" w:rsidRPr="00426BB8">
        <w:t xml:space="preserve"> poderá a</w:t>
      </w:r>
      <w:r w:rsidR="00E15ECB" w:rsidRPr="00426BB8">
        <w:t xml:space="preserve"> licitante/vencedora </w:t>
      </w:r>
      <w:r w:rsidRPr="00426BB8">
        <w:t>recorrer</w:t>
      </w:r>
      <w:r w:rsidR="00234BF2" w:rsidRPr="00426BB8">
        <w:t xml:space="preserve"> à autoridade competente</w:t>
      </w:r>
      <w:r w:rsidRPr="00426BB8">
        <w:t xml:space="preserve"> da </w:t>
      </w:r>
      <w:r w:rsidR="001A51D1">
        <w:t>3</w:t>
      </w:r>
      <w:r w:rsidRPr="00426BB8">
        <w:t>ª Superintendência Regional da Codevasf</w:t>
      </w:r>
      <w:r w:rsidR="00234BF2" w:rsidRPr="00426BB8">
        <w:t xml:space="preserve">, no prazo de </w:t>
      </w:r>
      <w:r w:rsidRPr="00426BB8">
        <w:t xml:space="preserve">até </w:t>
      </w:r>
      <w:r w:rsidR="00234BF2" w:rsidRPr="00426BB8">
        <w:t>05 (cinco) dias úteis</w:t>
      </w:r>
      <w:r w:rsidRPr="00426BB8">
        <w:t xml:space="preserve"> do recebimento da respectiva comunicação, o qual deverá ser comprovado por protocolo ou por recibo dos CORREIOS</w:t>
      </w:r>
      <w:r w:rsidR="00234BF2" w:rsidRPr="00426BB8">
        <w:t xml:space="preserve">. Os recursos </w:t>
      </w:r>
      <w:r w:rsidR="00234BF2" w:rsidRPr="00426BB8">
        <w:lastRenderedPageBreak/>
        <w:t>relativos às multas serão feitos na fo</w:t>
      </w:r>
      <w:r w:rsidR="00F95E88" w:rsidRPr="00426BB8">
        <w:t>rma prevista no item 11 deste Termo de Referência</w:t>
      </w:r>
      <w:r w:rsidR="00234BF2" w:rsidRPr="00426BB8">
        <w:t>.</w:t>
      </w:r>
    </w:p>
    <w:p w:rsidR="00234BF2" w:rsidRPr="003B30C8" w:rsidRDefault="00234BF2" w:rsidP="00F92CD7">
      <w:pPr>
        <w:pStyle w:val="Ttulo2"/>
      </w:pPr>
      <w:r w:rsidRPr="00426BB8">
        <w:t>A ação e/o</w:t>
      </w:r>
      <w:r w:rsidR="00F95E88" w:rsidRPr="00426BB8">
        <w:t xml:space="preserve">u omissão, total ou parcial, do Fiscal da Ata Registro de Preço </w:t>
      </w:r>
      <w:r w:rsidRPr="00426BB8">
        <w:t xml:space="preserve">não eximirá a </w:t>
      </w:r>
      <w:r w:rsidR="00E15ECB" w:rsidRPr="00426BB8">
        <w:t>licitante/</w:t>
      </w:r>
      <w:r w:rsidR="00E15ECB" w:rsidRPr="00F92CD7">
        <w:t>vencedora</w:t>
      </w:r>
      <w:r w:rsidR="00E15ECB" w:rsidRPr="00426BB8">
        <w:t xml:space="preserve"> </w:t>
      </w:r>
      <w:r w:rsidRPr="00426BB8">
        <w:t>da integral responsabilidade pela execução do objeto deste contrato</w:t>
      </w:r>
      <w:r w:rsidRPr="003B30C8">
        <w:t>.</w:t>
      </w:r>
    </w:p>
    <w:p w:rsidR="00C0215E" w:rsidRPr="00426BB8" w:rsidRDefault="00234BF2" w:rsidP="00F92CD7">
      <w:pPr>
        <w:pStyle w:val="Ttulo1"/>
      </w:pPr>
      <w:bookmarkStart w:id="21" w:name="_Toc519085884"/>
      <w:r w:rsidRPr="00426BB8">
        <w:t>GARANTIA</w:t>
      </w:r>
      <w:bookmarkEnd w:id="21"/>
    </w:p>
    <w:p w:rsidR="00C0215E" w:rsidRPr="00426BB8" w:rsidRDefault="00C0215E" w:rsidP="00F92CD7">
      <w:pPr>
        <w:pStyle w:val="Ttulo2"/>
        <w:rPr>
          <w:b/>
        </w:rPr>
      </w:pPr>
      <w:bookmarkStart w:id="22" w:name="_Hlk514076773"/>
      <w:r w:rsidRPr="00426BB8">
        <w:t xml:space="preserve">A(s) </w:t>
      </w:r>
      <w:r w:rsidRPr="007213D3">
        <w:t>licitante</w:t>
      </w:r>
      <w:r w:rsidRPr="00426BB8">
        <w:t xml:space="preserve">(s) </w:t>
      </w:r>
      <w:r w:rsidRPr="00F92CD7">
        <w:t>vencedora</w:t>
      </w:r>
      <w:r w:rsidRPr="00426BB8">
        <w:t>(s) da Ata Registro de Preço se responsabilizarão, por si e por seus sucessores, pela garantia de que todos os bens e insumos fornecidos são novos, sem prévia utilização e livres de defeitos de projetos, composição, fabricação ou de material, obrigando-se a(s) licitante(s) vencedora(s) a garanti-los integralmente, nas condições estabelecidas nas especificaçõ</w:t>
      </w:r>
      <w:r w:rsidR="00857957" w:rsidRPr="00426BB8">
        <w:t>es técnicas constantes do anexo</w:t>
      </w:r>
      <w:r w:rsidRPr="00426BB8">
        <w:t xml:space="preserve"> 1 deste Edital, pelo prazo mínimo de 12 (doze) meses ou prazo superior fixado pelo fabricante, o qual deverá estar expresso na proposta, contado a partir da data da sua entrega dos produtos à </w:t>
      </w:r>
      <w:r w:rsidR="001B156C">
        <w:t>3ª SR</w:t>
      </w:r>
      <w:r w:rsidRPr="00426BB8">
        <w:t>, conforme estabelece  o item 5 deste edital, os quais tratam do prazo, local de entrega e condições de embarque e transporte, máquinas, implementos, equipamentos e materiais a serem adquiridos</w:t>
      </w:r>
      <w:bookmarkEnd w:id="22"/>
      <w:r w:rsidRPr="00426BB8">
        <w:t xml:space="preserve">. </w:t>
      </w:r>
    </w:p>
    <w:p w:rsidR="00C0215E" w:rsidRPr="007213D3" w:rsidRDefault="00234BF2" w:rsidP="00F92CD7">
      <w:pPr>
        <w:pStyle w:val="Ttulo2"/>
      </w:pPr>
      <w:r w:rsidRPr="00426BB8">
        <w:t xml:space="preserve">No </w:t>
      </w:r>
      <w:r w:rsidRPr="007213D3">
        <w:t>caso</w:t>
      </w:r>
      <w:r w:rsidRPr="00426BB8">
        <w:t xml:space="preserve"> de </w:t>
      </w:r>
      <w:r w:rsidR="00FC68D6" w:rsidRPr="00426BB8">
        <w:t>máquinas</w:t>
      </w:r>
      <w:r w:rsidR="003A7B87" w:rsidRPr="00426BB8">
        <w:t xml:space="preserve"> e </w:t>
      </w:r>
      <w:r w:rsidR="00FC68D6" w:rsidRPr="00426BB8">
        <w:t>equipamentos,</w:t>
      </w:r>
      <w:r w:rsidRPr="00426BB8">
        <w:t xml:space="preserve"> caso a garantia oferecida pelo fabricante seja inferi</w:t>
      </w:r>
      <w:r w:rsidR="00C0215E" w:rsidRPr="00426BB8">
        <w:t>or ao estabelecido no subitem 1</w:t>
      </w:r>
      <w:r w:rsidR="001A51D1">
        <w:t>2</w:t>
      </w:r>
      <w:r w:rsidRPr="00426BB8">
        <w:t>.1, a licitante deverá complementar a garantia do bem ofertado pelo tempo restante.</w:t>
      </w:r>
    </w:p>
    <w:p w:rsidR="00C0215E" w:rsidRPr="007213D3" w:rsidRDefault="00A06537" w:rsidP="00F92CD7">
      <w:pPr>
        <w:pStyle w:val="Ttulo2"/>
      </w:pPr>
      <w:r w:rsidRPr="00426BB8">
        <w:t>Durante o período da</w:t>
      </w:r>
      <w:r w:rsidR="00234BF2" w:rsidRPr="00426BB8">
        <w:t xml:space="preserve"> garantia contra defeitos de fabricação, a adjudicatária obriga-se a efetuar, sem ônus para </w:t>
      </w:r>
      <w:r w:rsidR="00F95E88" w:rsidRPr="00426BB8">
        <w:t>a Codevasf</w:t>
      </w:r>
      <w:r w:rsidR="00234BF2" w:rsidRPr="00426BB8">
        <w:t>, a substituição do objeto que apresentar defeitos de fabricação, no prazo de até 15 (quinze) dias, a contar da notificação.</w:t>
      </w:r>
    </w:p>
    <w:p w:rsidR="00C0215E" w:rsidRPr="007213D3" w:rsidRDefault="00A06537" w:rsidP="00F92CD7">
      <w:pPr>
        <w:pStyle w:val="Ttulo2"/>
      </w:pPr>
      <w:r w:rsidRPr="00426BB8">
        <w:t xml:space="preserve">A(s) </w:t>
      </w:r>
      <w:r w:rsidR="005635AB" w:rsidRPr="00426BB8">
        <w:t xml:space="preserve">licitantes/vencedora(s) da Ata Registro de Preço </w:t>
      </w:r>
      <w:r w:rsidR="00234BF2" w:rsidRPr="00426BB8">
        <w:t>será</w:t>
      </w:r>
      <w:r w:rsidRPr="00426BB8">
        <w:t>(ão)</w:t>
      </w:r>
      <w:r w:rsidR="00234BF2" w:rsidRPr="00426BB8">
        <w:t xml:space="preserve"> responsável</w:t>
      </w:r>
      <w:r w:rsidRPr="00426BB8">
        <w:t>(is)</w:t>
      </w:r>
      <w:r w:rsidR="00234BF2" w:rsidRPr="00426BB8">
        <w:t>, na forma da Lei, por quaisquer danos ou prejuízos provenientes de vícios e/ou defeitos decorrentes do fornecimento contratado.</w:t>
      </w:r>
    </w:p>
    <w:p w:rsidR="007213D3" w:rsidRPr="007213D3" w:rsidRDefault="00FA45B9" w:rsidP="00F92CD7">
      <w:pPr>
        <w:pStyle w:val="Ttulo2"/>
        <w:rPr>
          <w:b/>
        </w:rPr>
      </w:pPr>
      <w:r w:rsidRPr="007213D3">
        <w:t>Correrão por conta da</w:t>
      </w:r>
      <w:r w:rsidRPr="00426BB8">
        <w:t xml:space="preserve">(s) </w:t>
      </w:r>
      <w:r w:rsidR="005635AB" w:rsidRPr="00426BB8">
        <w:t xml:space="preserve">licitantes/vencedora(s) da Ata Registro de Preço </w:t>
      </w:r>
      <w:r w:rsidR="00234BF2" w:rsidRPr="007213D3">
        <w:t>as despesas que tiverem de ser fei</w:t>
      </w:r>
      <w:r w:rsidRPr="007213D3">
        <w:t>tas, por ela ou pela Contratante</w:t>
      </w:r>
      <w:r w:rsidR="005635AB" w:rsidRPr="007213D3">
        <w:t xml:space="preserve"> (Codevasf)</w:t>
      </w:r>
      <w:r w:rsidR="00234BF2" w:rsidRPr="007213D3">
        <w:t>, para reparação desses danos ou prejuízos.</w:t>
      </w:r>
    </w:p>
    <w:p w:rsidR="006D6455" w:rsidRPr="00426BB8" w:rsidRDefault="00234BF2" w:rsidP="00F92CD7">
      <w:pPr>
        <w:pStyle w:val="Ttulo1"/>
      </w:pPr>
      <w:bookmarkStart w:id="23" w:name="_Toc519085885"/>
      <w:r w:rsidRPr="007213D3">
        <w:t>MULTA</w:t>
      </w:r>
      <w:r w:rsidR="001A51D1">
        <w:t>S E SANÇOES ADMINISTRATIVAS</w:t>
      </w:r>
      <w:bookmarkEnd w:id="23"/>
    </w:p>
    <w:p w:rsidR="00234BF2" w:rsidRPr="00426BB8" w:rsidRDefault="005B37D7" w:rsidP="00F92CD7">
      <w:pPr>
        <w:pStyle w:val="Ttulo2"/>
      </w:pPr>
      <w:r w:rsidRPr="00426BB8">
        <w:t xml:space="preserve">No(s) caso(s) </w:t>
      </w:r>
      <w:r w:rsidR="00234BF2" w:rsidRPr="00426BB8">
        <w:t>de inadimplemento ou inexecução total da contratação, p</w:t>
      </w:r>
      <w:r w:rsidRPr="00426BB8">
        <w:t>or culpa exclusiva da(s)</w:t>
      </w:r>
      <w:r w:rsidR="00851623" w:rsidRPr="00426BB8">
        <w:t xml:space="preserve"> da(s) licitantes/vencedora(s) da Ata Registro de Preço</w:t>
      </w:r>
      <w:r w:rsidR="00234BF2" w:rsidRPr="00426BB8">
        <w:t>, será cobrada multa de 10% (dez</w:t>
      </w:r>
      <w:r w:rsidRPr="00426BB8">
        <w:t xml:space="preserve"> por cento)</w:t>
      </w:r>
      <w:r w:rsidR="00234BF2" w:rsidRPr="00426BB8">
        <w:t xml:space="preserve"> d</w:t>
      </w:r>
      <w:r w:rsidRPr="00426BB8">
        <w:t>o valor da parte não executada pel</w:t>
      </w:r>
      <w:r w:rsidR="00234BF2" w:rsidRPr="00426BB8">
        <w:t xml:space="preserve">a </w:t>
      </w:r>
      <w:r w:rsidRPr="00426BB8">
        <w:t>licitante vencedora.</w:t>
      </w:r>
    </w:p>
    <w:p w:rsidR="00234BF2" w:rsidRPr="00426BB8" w:rsidRDefault="00234BF2" w:rsidP="00F92CD7">
      <w:pPr>
        <w:pStyle w:val="Ttulo2"/>
      </w:pPr>
      <w:bookmarkStart w:id="24" w:name="_Hlk513566549"/>
      <w:r w:rsidRPr="00426BB8">
        <w:t>No</w:t>
      </w:r>
      <w:r w:rsidR="005B37D7" w:rsidRPr="00426BB8">
        <w:t>(</w:t>
      </w:r>
      <w:r w:rsidRPr="00426BB8">
        <w:t>s</w:t>
      </w:r>
      <w:r w:rsidR="005B37D7" w:rsidRPr="00426BB8">
        <w:t>)</w:t>
      </w:r>
      <w:r w:rsidRPr="00426BB8">
        <w:t xml:space="preserve"> caso</w:t>
      </w:r>
      <w:r w:rsidR="005B37D7" w:rsidRPr="00426BB8">
        <w:t>(</w:t>
      </w:r>
      <w:r w:rsidRPr="00426BB8">
        <w:t>s</w:t>
      </w:r>
      <w:r w:rsidR="005B37D7" w:rsidRPr="00426BB8">
        <w:t>)</w:t>
      </w:r>
      <w:r w:rsidRPr="00426BB8">
        <w:t xml:space="preserve"> de inexecução pa</w:t>
      </w:r>
      <w:r w:rsidR="005B37D7" w:rsidRPr="00426BB8">
        <w:t>rcial do(s) fornecimento</w:t>
      </w:r>
      <w:bookmarkEnd w:id="24"/>
      <w:r w:rsidR="005B37D7" w:rsidRPr="00426BB8">
        <w:t>(s)</w:t>
      </w:r>
      <w:r w:rsidRPr="00426BB8">
        <w:t xml:space="preserve">, será cobrada multa </w:t>
      </w:r>
      <w:bookmarkStart w:id="25" w:name="_Hlk513566507"/>
      <w:r w:rsidRPr="00426BB8">
        <w:t>de 5% (cinco por</w:t>
      </w:r>
      <w:r w:rsidR="005B37D7" w:rsidRPr="00426BB8">
        <w:t xml:space="preserve"> cento)</w:t>
      </w:r>
      <w:r w:rsidRPr="00426BB8">
        <w:t xml:space="preserve"> do valor da parte não executada </w:t>
      </w:r>
      <w:r w:rsidR="005B37D7" w:rsidRPr="00426BB8">
        <w:t>pela licitante vencedora</w:t>
      </w:r>
      <w:r w:rsidRPr="00426BB8">
        <w:t>.</w:t>
      </w:r>
      <w:bookmarkEnd w:id="25"/>
    </w:p>
    <w:p w:rsidR="00234BF2" w:rsidRPr="00426BB8" w:rsidRDefault="005B37D7" w:rsidP="00F92CD7">
      <w:pPr>
        <w:pStyle w:val="Ttulo2"/>
      </w:pPr>
      <w:r w:rsidRPr="00426BB8">
        <w:t xml:space="preserve">No(s) caso(s) </w:t>
      </w:r>
      <w:r w:rsidR="00234BF2" w:rsidRPr="00426BB8">
        <w:t>de mora ou atraso na execução, será cobrada multa 2% (dois por cento) incidentes sob</w:t>
      </w:r>
      <w:r w:rsidRPr="00426BB8">
        <w:t xml:space="preserve">re valor do(s) fornecimento(s), </w:t>
      </w:r>
      <w:r w:rsidR="00234BF2" w:rsidRPr="00426BB8">
        <w:t>em atraso.</w:t>
      </w:r>
    </w:p>
    <w:p w:rsidR="00234BF2" w:rsidRPr="00426BB8" w:rsidRDefault="00234BF2" w:rsidP="00F92CD7">
      <w:pPr>
        <w:pStyle w:val="Ttulo2"/>
      </w:pPr>
      <w:r w:rsidRPr="00426BB8">
        <w:lastRenderedPageBreak/>
        <w:t xml:space="preserve">Ocorrida a inadimplência, aplicada após regular processo administrativo, a multa será aplicada pela </w:t>
      </w:r>
      <w:r w:rsidR="001B156C">
        <w:t>3ª SR</w:t>
      </w:r>
      <w:r w:rsidRPr="00426BB8">
        <w:t>, observando-se o seguinte:</w:t>
      </w:r>
    </w:p>
    <w:p w:rsidR="00234BF2" w:rsidRPr="00F92CD7" w:rsidRDefault="00234BF2" w:rsidP="003D2F92">
      <w:pPr>
        <w:pStyle w:val="Ttulo3"/>
        <w:numPr>
          <w:ilvl w:val="2"/>
          <w:numId w:val="5"/>
        </w:numPr>
        <w:tabs>
          <w:tab w:val="clear" w:pos="2160"/>
          <w:tab w:val="num" w:pos="851"/>
        </w:tabs>
        <w:ind w:left="851" w:hanging="284"/>
      </w:pPr>
      <w:r w:rsidRPr="00F92CD7">
        <w:t xml:space="preserve">A multa será deduzida do valor líquido do faturamento da licitante vencedora. Caso o valor do faturamento seja insuficiente para cobrir a multa, a licitante vencedora será convocada para complementação do seu valor, no prazo de 10 (dez) dias, contado da data da convocação, a ser recolhido à </w:t>
      </w:r>
      <w:r w:rsidR="001A51D1" w:rsidRPr="00F92CD7">
        <w:t>3</w:t>
      </w:r>
      <w:r w:rsidR="007761DF" w:rsidRPr="00F92CD7">
        <w:t>º</w:t>
      </w:r>
      <w:r w:rsidRPr="00F92CD7">
        <w:t xml:space="preserve"> Unidade Regional de Finanças – </w:t>
      </w:r>
      <w:r w:rsidR="001A51D1" w:rsidRPr="00F92CD7">
        <w:t>3</w:t>
      </w:r>
      <w:r w:rsidR="007761DF" w:rsidRPr="00F92CD7">
        <w:t xml:space="preserve">º </w:t>
      </w:r>
      <w:r w:rsidRPr="00F92CD7">
        <w:t>GRA/</w:t>
      </w:r>
      <w:r w:rsidR="001B156C" w:rsidRPr="00F92CD7">
        <w:t>UFN</w:t>
      </w:r>
      <w:r w:rsidRPr="00F92CD7">
        <w:t>, localizada no endereço contido no edital.</w:t>
      </w:r>
    </w:p>
    <w:p w:rsidR="00BD1C71" w:rsidRPr="00F92CD7" w:rsidRDefault="005B37D7" w:rsidP="003D2F92">
      <w:pPr>
        <w:pStyle w:val="Ttulo3"/>
        <w:numPr>
          <w:ilvl w:val="2"/>
          <w:numId w:val="5"/>
        </w:numPr>
        <w:tabs>
          <w:tab w:val="clear" w:pos="2160"/>
          <w:tab w:val="num" w:pos="851"/>
        </w:tabs>
        <w:ind w:left="851" w:hanging="284"/>
      </w:pPr>
      <w:r w:rsidRPr="00F92CD7">
        <w:t>Em caso de relevação da multa pela autoridade competente</w:t>
      </w:r>
      <w:r w:rsidR="001767E1" w:rsidRPr="00F92CD7">
        <w:t>, à</w:t>
      </w:r>
      <w:r w:rsidR="00234BF2" w:rsidRPr="00F92CD7">
        <w:t xml:space="preserve"> </w:t>
      </w:r>
      <w:r w:rsidR="001A51D1" w:rsidRPr="00F92CD7">
        <w:t>3</w:t>
      </w:r>
      <w:r w:rsidR="00F95E88" w:rsidRPr="00F92CD7">
        <w:t>ª Superintendência Regional da Codevasf</w:t>
      </w:r>
      <w:r w:rsidR="00234BF2" w:rsidRPr="00F92CD7">
        <w:t xml:space="preserve"> se reserva o direito de cobrar perdas e danos</w:t>
      </w:r>
      <w:r w:rsidR="001767E1" w:rsidRPr="00F92CD7">
        <w:t>,</w:t>
      </w:r>
      <w:r w:rsidR="00234BF2" w:rsidRPr="00F92CD7">
        <w:t xml:space="preserve"> porventura cabíveis</w:t>
      </w:r>
      <w:r w:rsidR="001767E1" w:rsidRPr="00F92CD7">
        <w:t>,</w:t>
      </w:r>
      <w:r w:rsidR="00234BF2" w:rsidRPr="00F92CD7">
        <w:t xml:space="preserve"> em razão do inadimplemento de outra</w:t>
      </w:r>
      <w:r w:rsidR="001767E1" w:rsidRPr="00F92CD7">
        <w:t>s obrigações, não se constituindo à</w:t>
      </w:r>
      <w:r w:rsidR="00234BF2" w:rsidRPr="00F92CD7">
        <w:t xml:space="preserve"> relevação novação contratual</w:t>
      </w:r>
      <w:r w:rsidR="001767E1" w:rsidRPr="00F92CD7">
        <w:t>,</w:t>
      </w:r>
      <w:r w:rsidR="00234BF2" w:rsidRPr="00F92CD7">
        <w:t xml:space="preserve"> nem desistência dos direitos que lhe forem assegurados</w:t>
      </w:r>
      <w:r w:rsidR="00851623" w:rsidRPr="00F92CD7">
        <w:t xml:space="preserve"> como licitante/</w:t>
      </w:r>
      <w:r w:rsidR="001767E1" w:rsidRPr="00F92CD7">
        <w:t>vencedora do certame</w:t>
      </w:r>
      <w:r w:rsidR="00234BF2" w:rsidRPr="00F92CD7">
        <w:t>.</w:t>
      </w:r>
      <w:r w:rsidR="007213D3" w:rsidRPr="00F92CD7">
        <w:t xml:space="preserve"> </w:t>
      </w:r>
    </w:p>
    <w:p w:rsidR="007245CD" w:rsidRDefault="007F4B0B" w:rsidP="00F92CD7">
      <w:pPr>
        <w:pStyle w:val="Ttulo1"/>
      </w:pPr>
      <w:bookmarkStart w:id="26" w:name="_Toc519085886"/>
      <w:r w:rsidRPr="00426BB8">
        <w:t>ANEXOS</w:t>
      </w:r>
      <w:bookmarkEnd w:id="26"/>
    </w:p>
    <w:p w:rsidR="00234BF2" w:rsidRPr="00426BB8" w:rsidRDefault="00577362" w:rsidP="00577362">
      <w:pPr>
        <w:pStyle w:val="Ttulo2"/>
      </w:pPr>
      <w:r w:rsidRPr="00577362">
        <w:t xml:space="preserve">ANEXO I - </w:t>
      </w:r>
      <w:r>
        <w:t>P</w:t>
      </w:r>
      <w:r w:rsidRPr="00577362">
        <w:t>lanilha de especificações, quantitativos e preços para licitação de pregão eletrônico de registro de preços (</w:t>
      </w:r>
      <w:r w:rsidR="00BD673A" w:rsidRPr="00577362">
        <w:t>SRP</w:t>
      </w:r>
      <w:r w:rsidRPr="00577362">
        <w:t>)</w:t>
      </w:r>
    </w:p>
    <w:sectPr w:rsidR="00234BF2" w:rsidRPr="00426BB8" w:rsidSect="00DC3E89">
      <w:headerReference w:type="default" r:id="rId11"/>
      <w:footerReference w:type="default" r:id="rId12"/>
      <w:pgSz w:w="11906" w:h="16838"/>
      <w:pgMar w:top="1417" w:right="1701" w:bottom="993" w:left="1701" w:header="999" w:footer="5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D2D" w:rsidRDefault="00A31D2D">
      <w:r>
        <w:separator/>
      </w:r>
    </w:p>
  </w:endnote>
  <w:endnote w:type="continuationSeparator" w:id="0">
    <w:p w:rsidR="00A31D2D" w:rsidRDefault="00A3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PS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158568"/>
      <w:docPartObj>
        <w:docPartGallery w:val="Page Numbers (Bottom of Page)"/>
        <w:docPartUnique/>
      </w:docPartObj>
    </w:sdtPr>
    <w:sdtEndPr/>
    <w:sdtContent>
      <w:p w:rsidR="00D45970" w:rsidRDefault="00D45970" w:rsidP="00D45970">
        <w:pPr>
          <w:pStyle w:val="Rodap"/>
          <w:pBdr>
            <w:top w:val="single" w:sz="4" w:space="1" w:color="auto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EC7">
          <w:rPr>
            <w:noProof/>
          </w:rPr>
          <w:t>1</w:t>
        </w:r>
        <w:r>
          <w:fldChar w:fldCharType="end"/>
        </w:r>
        <w:r>
          <w:t xml:space="preserve"> de 15</w:t>
        </w:r>
      </w:p>
    </w:sdtContent>
  </w:sdt>
  <w:p w:rsidR="00BD1C71" w:rsidRDefault="00BD1C71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D2D" w:rsidRDefault="00A31D2D">
      <w:r>
        <w:separator/>
      </w:r>
    </w:p>
  </w:footnote>
  <w:footnote w:type="continuationSeparator" w:id="0">
    <w:p w:rsidR="00A31D2D" w:rsidRDefault="00A31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C71" w:rsidRDefault="00D45970">
    <w:pPr>
      <w:pStyle w:val="Cabealho"/>
      <w:rPr>
        <w:sz w:val="20"/>
      </w:rPr>
    </w:pPr>
    <w:r w:rsidRPr="00282437">
      <w:rPr>
        <w:rFonts w:cs="Arial"/>
        <w:noProof/>
        <w:szCs w:val="28"/>
        <w:u w:val="single"/>
        <w:lang w:eastAsia="pt-B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892407" wp14:editId="5F37E420">
              <wp:simplePos x="0" y="0"/>
              <wp:positionH relativeFrom="column">
                <wp:posOffset>4323715</wp:posOffset>
              </wp:positionH>
              <wp:positionV relativeFrom="paragraph">
                <wp:posOffset>-424815</wp:posOffset>
              </wp:positionV>
              <wp:extent cx="1926590" cy="660400"/>
              <wp:effectExtent l="0" t="0" r="16510" b="2540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6590" cy="660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45970" w:rsidRDefault="00D45970" w:rsidP="00D45970">
                          <w:pPr>
                            <w:rPr>
                              <w:color w:val="000000" w:themeColor="text1"/>
                              <w:sz w:val="15"/>
                              <w:szCs w:val="15"/>
                            </w:rPr>
                          </w:pPr>
                        </w:p>
                        <w:p w:rsidR="00D45970" w:rsidRPr="00D45970" w:rsidRDefault="00D45970" w:rsidP="00D45970">
                          <w:pPr>
                            <w:rPr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D45970">
                            <w:rPr>
                              <w:color w:val="000000" w:themeColor="text1"/>
                              <w:sz w:val="16"/>
                              <w:szCs w:val="16"/>
                            </w:rPr>
                            <w:t>Folha nº</w:t>
                          </w:r>
                        </w:p>
                        <w:p w:rsidR="00D45970" w:rsidRPr="00D45970" w:rsidRDefault="00D45970" w:rsidP="00D45970">
                          <w:pPr>
                            <w:rPr>
                              <w:bCs/>
                              <w:color w:val="000000" w:themeColor="text1"/>
                              <w:sz w:val="16"/>
                              <w:szCs w:val="16"/>
                              <w:lang w:val="pt-PT"/>
                            </w:rPr>
                          </w:pPr>
                          <w:r w:rsidRPr="00D45970">
                            <w:rPr>
                              <w:color w:val="000000" w:themeColor="text1"/>
                              <w:sz w:val="16"/>
                              <w:szCs w:val="16"/>
                            </w:rPr>
                            <w:t>Processo nº 59530.</w:t>
                          </w:r>
                          <w:r w:rsidRPr="00D45970">
                            <w:rPr>
                              <w:bCs/>
                              <w:color w:val="000000" w:themeColor="text1"/>
                              <w:sz w:val="16"/>
                              <w:szCs w:val="16"/>
                              <w:lang w:val="pt-PT"/>
                            </w:rPr>
                            <w:t xml:space="preserve"> 000887/2018-28</w:t>
                          </w:r>
                        </w:p>
                        <w:p w:rsidR="00D45970" w:rsidRPr="00D45970" w:rsidRDefault="00D45970" w:rsidP="00D45970">
                          <w:pPr>
                            <w:rPr>
                              <w:bCs/>
                              <w:color w:val="000000" w:themeColor="text1"/>
                              <w:sz w:val="16"/>
                              <w:szCs w:val="16"/>
                              <w:lang w:val="pt-PT"/>
                            </w:rPr>
                          </w:pPr>
                        </w:p>
                        <w:p w:rsidR="00D45970" w:rsidRPr="00D45970" w:rsidRDefault="00D45970" w:rsidP="00D45970">
                          <w:pPr>
                            <w:pBdr>
                              <w:top w:val="single" w:sz="4" w:space="0" w:color="auto"/>
                            </w:pBdr>
                            <w:jc w:val="center"/>
                            <w:rPr>
                              <w:bCs/>
                              <w:color w:val="000000" w:themeColor="text1"/>
                              <w:sz w:val="16"/>
                              <w:szCs w:val="16"/>
                              <w:lang w:val="pt-PT"/>
                            </w:rPr>
                          </w:pPr>
                          <w:r w:rsidRPr="00D45970">
                            <w:rPr>
                              <w:bCs/>
                              <w:color w:val="000000" w:themeColor="text1"/>
                              <w:sz w:val="16"/>
                              <w:szCs w:val="16"/>
                              <w:lang w:val="pt-PT"/>
                            </w:rPr>
                            <w:t>3ªGRD/UEP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45pt;margin-top:-33.45pt;width:151.7pt;height:5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" strokecolor="gray [1629]" strokeweight=".25pt">
              <v:textbox>
                <w:txbxContent>
                  <w:p w:rsidR="00D45970" w:rsidRDefault="00D45970" w:rsidP="00D45970">
                    <w:pPr>
                      <w:rPr>
                        <w:color w:val="000000" w:themeColor="text1"/>
                        <w:sz w:val="15"/>
                        <w:szCs w:val="15"/>
                      </w:rPr>
                    </w:pPr>
                  </w:p>
                  <w:p w:rsidR="00D45970" w:rsidRPr="00D45970" w:rsidRDefault="00D45970" w:rsidP="00D45970">
                    <w:pPr>
                      <w:rPr>
                        <w:color w:val="000000" w:themeColor="text1"/>
                        <w:sz w:val="16"/>
                        <w:szCs w:val="16"/>
                      </w:rPr>
                    </w:pPr>
                    <w:r w:rsidRPr="00D45970">
                      <w:rPr>
                        <w:color w:val="000000" w:themeColor="text1"/>
                        <w:sz w:val="16"/>
                        <w:szCs w:val="16"/>
                      </w:rPr>
                      <w:t>Folha nº</w:t>
                    </w:r>
                  </w:p>
                  <w:p w:rsidR="00D45970" w:rsidRPr="00D45970" w:rsidRDefault="00D45970" w:rsidP="00D45970">
                    <w:pPr>
                      <w:rPr>
                        <w:bCs/>
                        <w:color w:val="000000" w:themeColor="text1"/>
                        <w:sz w:val="16"/>
                        <w:szCs w:val="16"/>
                        <w:lang w:val="pt-PT"/>
                      </w:rPr>
                    </w:pPr>
                    <w:r w:rsidRPr="00D45970">
                      <w:rPr>
                        <w:color w:val="000000" w:themeColor="text1"/>
                        <w:sz w:val="16"/>
                        <w:szCs w:val="16"/>
                      </w:rPr>
                      <w:t>Processo nº 59530.</w:t>
                    </w:r>
                    <w:r w:rsidRPr="00D45970">
                      <w:rPr>
                        <w:bCs/>
                        <w:color w:val="000000" w:themeColor="text1"/>
                        <w:sz w:val="16"/>
                        <w:szCs w:val="16"/>
                        <w:lang w:val="pt-PT"/>
                      </w:rPr>
                      <w:t xml:space="preserve"> 000887/2018-28</w:t>
                    </w:r>
                  </w:p>
                  <w:p w:rsidR="00D45970" w:rsidRPr="00D45970" w:rsidRDefault="00D45970" w:rsidP="00D45970">
                    <w:pPr>
                      <w:rPr>
                        <w:bCs/>
                        <w:color w:val="000000" w:themeColor="text1"/>
                        <w:sz w:val="16"/>
                        <w:szCs w:val="16"/>
                        <w:lang w:val="pt-PT"/>
                      </w:rPr>
                    </w:pPr>
                  </w:p>
                  <w:p w:rsidR="00D45970" w:rsidRPr="00D45970" w:rsidRDefault="00D45970" w:rsidP="00D45970">
                    <w:pPr>
                      <w:pBdr>
                        <w:top w:val="single" w:sz="4" w:space="0" w:color="auto"/>
                      </w:pBdr>
                      <w:jc w:val="center"/>
                      <w:rPr>
                        <w:bCs/>
                        <w:color w:val="000000" w:themeColor="text1"/>
                        <w:sz w:val="16"/>
                        <w:szCs w:val="16"/>
                        <w:lang w:val="pt-PT"/>
                      </w:rPr>
                    </w:pPr>
                    <w:r w:rsidRPr="00D45970">
                      <w:rPr>
                        <w:bCs/>
                        <w:color w:val="000000" w:themeColor="text1"/>
                        <w:sz w:val="16"/>
                        <w:szCs w:val="16"/>
                        <w:lang w:val="pt-PT"/>
                      </w:rPr>
                      <w:t>3ªGRD/UEP</w:t>
                    </w:r>
                  </w:p>
                </w:txbxContent>
              </v:textbox>
            </v:shape>
          </w:pict>
        </mc:Fallback>
      </mc:AlternateContent>
    </w:r>
    <w:r w:rsidR="009174C0">
      <w:rPr>
        <w:noProof/>
        <w:lang w:eastAsia="pt-BR"/>
      </w:rPr>
      <mc:AlternateContent>
        <mc:Choice Requires="wps">
          <w:drawing>
            <wp:anchor distT="0" distB="0" distL="114935" distR="114935" simplePos="0" relativeHeight="251656704" behindDoc="1" locked="0" layoutInCell="1" allowOverlap="1">
              <wp:simplePos x="0" y="0"/>
              <wp:positionH relativeFrom="column">
                <wp:posOffset>1553088</wp:posOffset>
              </wp:positionH>
              <wp:positionV relativeFrom="paragraph">
                <wp:posOffset>-470592</wp:posOffset>
              </wp:positionV>
              <wp:extent cx="3323230" cy="4451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3230" cy="4451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D1C71" w:rsidRDefault="00BD1C71">
                          <w:pPr>
                            <w:rPr>
                              <w:b/>
                              <w:sz w:val="16"/>
                            </w:rPr>
                          </w:pPr>
                        </w:p>
                        <w:p w:rsidR="00BD1C71" w:rsidRPr="00C0105D" w:rsidRDefault="00BD1C71">
                          <w:pPr>
                            <w:rPr>
                              <w:b/>
                              <w:sz w:val="16"/>
                            </w:rPr>
                          </w:pPr>
                          <w:r w:rsidRPr="00C0105D">
                            <w:rPr>
                              <w:b/>
                              <w:sz w:val="16"/>
                            </w:rPr>
                            <w:t>Ministério da Integração Nacional – MI</w:t>
                          </w:r>
                        </w:p>
                        <w:p w:rsidR="00BD1C71" w:rsidRDefault="00BD1C71">
                          <w:pPr>
                            <w:pStyle w:val="Ttulo4"/>
                            <w:numPr>
                              <w:ilvl w:val="0"/>
                              <w:numId w:val="0"/>
                            </w:numPr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Companhia de Desenvolvimento dos Vales do São Francisco e do Parnaíba</w:t>
                          </w:r>
                        </w:p>
                        <w:p w:rsidR="00BD1C71" w:rsidRPr="00C0105D" w:rsidRDefault="00E524BB" w:rsidP="00C0105D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3</w:t>
                          </w:r>
                          <w:r w:rsidR="00BD1C71" w:rsidRPr="00C0105D">
                            <w:rPr>
                              <w:b/>
                              <w:sz w:val="16"/>
                              <w:szCs w:val="16"/>
                            </w:rPr>
                            <w:t>ª Superintendência Regional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 xml:space="preserve"> – Petrolina - PE</w:t>
                          </w:r>
                        </w:p>
                        <w:p w:rsidR="00BD1C71" w:rsidRDefault="00BD1C7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122.3pt;margin-top:-37.05pt;width:261.65pt;height:35.05pt;z-index:-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" stroked="f">
              <v:fill opacity="0"/>
              <v:textbox inset="0,0,0,0">
                <w:txbxContent>
                  <w:p w:rsidR="00BD1C71" w:rsidRDefault="00BD1C71">
                    <w:pPr>
                      <w:rPr>
                        <w:b/>
                        <w:sz w:val="16"/>
                      </w:rPr>
                    </w:pPr>
                  </w:p>
                  <w:p w:rsidR="00BD1C71" w:rsidRPr="00C0105D" w:rsidRDefault="00BD1C71">
                    <w:pPr>
                      <w:rPr>
                        <w:b/>
                        <w:sz w:val="16"/>
                      </w:rPr>
                    </w:pPr>
                    <w:r w:rsidRPr="00C0105D">
                      <w:rPr>
                        <w:b/>
                        <w:sz w:val="16"/>
                      </w:rPr>
                      <w:t>Ministério da Integração Nacional – MI</w:t>
                    </w:r>
                  </w:p>
                  <w:p w:rsidR="00BD1C71" w:rsidRDefault="00BD1C71">
                    <w:pPr>
                      <w:pStyle w:val="Ttulo4"/>
                      <w:numPr>
                        <w:ilvl w:val="0"/>
                        <w:numId w:val="0"/>
                      </w:numPr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Companhia de Desenvolvimento dos Vales do São Francisco e do Parnaíba</w:t>
                    </w:r>
                  </w:p>
                  <w:p w:rsidR="00BD1C71" w:rsidRPr="00C0105D" w:rsidRDefault="00E524BB" w:rsidP="00C0105D">
                    <w:pPr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3</w:t>
                    </w:r>
                    <w:r w:rsidR="00BD1C71" w:rsidRPr="00C0105D">
                      <w:rPr>
                        <w:b/>
                        <w:sz w:val="16"/>
                        <w:szCs w:val="16"/>
                      </w:rPr>
                      <w:t>ª Superintendência Regional</w:t>
                    </w:r>
                    <w:r>
                      <w:rPr>
                        <w:b/>
                        <w:sz w:val="16"/>
                        <w:szCs w:val="16"/>
                      </w:rPr>
                      <w:t xml:space="preserve"> – Petrolina - PE</w:t>
                    </w:r>
                  </w:p>
                  <w:p w:rsidR="00BD1C71" w:rsidRDefault="00BD1C71"/>
                </w:txbxContent>
              </v:textbox>
            </v:shape>
          </w:pict>
        </mc:Fallback>
      </mc:AlternateContent>
    </w:r>
    <w:r w:rsidR="00A31D2D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9.95pt;margin-top:-30.45pt;width:137.35pt;height:27pt;z-index:-251657728;mso-wrap-distance-left:9.05pt;mso-wrap-distance-right:9.05pt;mso-position-horizontal-relative:text;mso-position-vertical-relative:text" filled="t">
          <v:fill color2="black"/>
          <v:imagedata r:id="rId1" o:title=""/>
        </v:shape>
        <o:OLEObject Type="Embed" ProgID="Word.Picture.8" ShapeID="_x0000_s2050" DrawAspect="Content" ObjectID="_1595237506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7ECF5D2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1286"/>
        </w:tabs>
        <w:ind w:left="1286" w:hanging="576"/>
      </w:pPr>
      <w:rPr>
        <w:b w:val="0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pStyle w:val="Sumrio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-113"/>
        </w:tabs>
        <w:ind w:left="738" w:hanging="454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59" w:hanging="708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10" w:hanging="851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8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6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4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50" w:hanging="708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</w:lvl>
  </w:abstractNum>
  <w:abstractNum w:abstractNumId="4">
    <w:nsid w:val="00000005"/>
    <w:multiLevelType w:val="multilevel"/>
    <w:tmpl w:val="00000005"/>
    <w:name w:val="WW8Num6"/>
    <w:lvl w:ilvl="0">
      <w:start w:val="8"/>
      <w:numFmt w:val="decimal"/>
      <w:lvlText w:val="%1"/>
      <w:lvlJc w:val="left"/>
      <w:pPr>
        <w:tabs>
          <w:tab w:val="num" w:pos="0"/>
        </w:tabs>
        <w:ind w:left="600" w:hanging="600"/>
      </w:pPr>
    </w:lvl>
    <w:lvl w:ilvl="1">
      <w:start w:val="15"/>
      <w:numFmt w:val="decimal"/>
      <w:lvlText w:val="%1.%2"/>
      <w:lvlJc w:val="left"/>
      <w:pPr>
        <w:tabs>
          <w:tab w:val="num" w:pos="0"/>
        </w:tabs>
        <w:ind w:left="1309" w:hanging="60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</w:lvl>
  </w:abstractNum>
  <w:abstractNum w:abstractNumId="5">
    <w:nsid w:val="00000006"/>
    <w:multiLevelType w:val="multilevel"/>
    <w:tmpl w:val="00000006"/>
    <w:name w:val="WW8Num7"/>
    <w:lvl w:ilvl="0">
      <w:start w:val="8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6">
    <w:nsid w:val="00000020"/>
    <w:multiLevelType w:val="singleLevel"/>
    <w:tmpl w:val="00000020"/>
    <w:name w:val="WW8Num1170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color w:val="000000"/>
        <w:sz w:val="24"/>
      </w:rPr>
    </w:lvl>
  </w:abstractNum>
  <w:abstractNum w:abstractNumId="7">
    <w:nsid w:val="0000002F"/>
    <w:multiLevelType w:val="multilevel"/>
    <w:tmpl w:val="0000002F"/>
    <w:name w:val="WW8Num1471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-113"/>
        </w:tabs>
        <w:ind w:left="738" w:hanging="454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59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10" w:hanging="851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8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6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4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50" w:hanging="708"/>
      </w:pPr>
    </w:lvl>
  </w:abstractNum>
  <w:abstractNum w:abstractNumId="8">
    <w:nsid w:val="0CC75559"/>
    <w:multiLevelType w:val="multilevel"/>
    <w:tmpl w:val="05B42C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2C420C2E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BD94475"/>
    <w:multiLevelType w:val="multilevel"/>
    <w:tmpl w:val="F1DC30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8"/>
  </w:num>
  <w:num w:numId="6">
    <w:abstractNumId w:val="10"/>
  </w:num>
  <w:num w:numId="7">
    <w:abstractNumId w:val="0"/>
  </w:num>
  <w:num w:numId="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5B5"/>
    <w:rsid w:val="00001E62"/>
    <w:rsid w:val="000035CA"/>
    <w:rsid w:val="00014D07"/>
    <w:rsid w:val="0001559E"/>
    <w:rsid w:val="00016885"/>
    <w:rsid w:val="00020DAD"/>
    <w:rsid w:val="00022EB0"/>
    <w:rsid w:val="00027ED2"/>
    <w:rsid w:val="00030622"/>
    <w:rsid w:val="000422B5"/>
    <w:rsid w:val="00043057"/>
    <w:rsid w:val="00054B38"/>
    <w:rsid w:val="000654B5"/>
    <w:rsid w:val="000758BA"/>
    <w:rsid w:val="00080FFE"/>
    <w:rsid w:val="00082E72"/>
    <w:rsid w:val="00086308"/>
    <w:rsid w:val="00091E28"/>
    <w:rsid w:val="00092818"/>
    <w:rsid w:val="0009371B"/>
    <w:rsid w:val="000A5256"/>
    <w:rsid w:val="000A578D"/>
    <w:rsid w:val="000B30E0"/>
    <w:rsid w:val="000B6FC4"/>
    <w:rsid w:val="000C0A6C"/>
    <w:rsid w:val="000C2FBC"/>
    <w:rsid w:val="000C3D9C"/>
    <w:rsid w:val="000C4E11"/>
    <w:rsid w:val="000C5B56"/>
    <w:rsid w:val="000E3C93"/>
    <w:rsid w:val="000E4D91"/>
    <w:rsid w:val="000F43E2"/>
    <w:rsid w:val="000F5C90"/>
    <w:rsid w:val="00105C01"/>
    <w:rsid w:val="00110B51"/>
    <w:rsid w:val="00111627"/>
    <w:rsid w:val="00116744"/>
    <w:rsid w:val="00120C05"/>
    <w:rsid w:val="00121AEA"/>
    <w:rsid w:val="0012298F"/>
    <w:rsid w:val="00125B75"/>
    <w:rsid w:val="00127678"/>
    <w:rsid w:val="00135987"/>
    <w:rsid w:val="001435A3"/>
    <w:rsid w:val="00143BE9"/>
    <w:rsid w:val="00151FCB"/>
    <w:rsid w:val="00152EEE"/>
    <w:rsid w:val="001607CE"/>
    <w:rsid w:val="001626FD"/>
    <w:rsid w:val="00165102"/>
    <w:rsid w:val="0016613F"/>
    <w:rsid w:val="001730CC"/>
    <w:rsid w:val="001767E1"/>
    <w:rsid w:val="0018503F"/>
    <w:rsid w:val="001870FE"/>
    <w:rsid w:val="00191879"/>
    <w:rsid w:val="001970B7"/>
    <w:rsid w:val="001A0225"/>
    <w:rsid w:val="001A41DB"/>
    <w:rsid w:val="001A51D1"/>
    <w:rsid w:val="001B102B"/>
    <w:rsid w:val="001B156C"/>
    <w:rsid w:val="001B250A"/>
    <w:rsid w:val="001C00E0"/>
    <w:rsid w:val="001C2AF8"/>
    <w:rsid w:val="001C3BD8"/>
    <w:rsid w:val="001C46D6"/>
    <w:rsid w:val="001C550D"/>
    <w:rsid w:val="001C75D8"/>
    <w:rsid w:val="001D112E"/>
    <w:rsid w:val="001E29AF"/>
    <w:rsid w:val="001F0A2F"/>
    <w:rsid w:val="002009DE"/>
    <w:rsid w:val="002173E8"/>
    <w:rsid w:val="00217E6E"/>
    <w:rsid w:val="00220D2F"/>
    <w:rsid w:val="002273F5"/>
    <w:rsid w:val="00234BF2"/>
    <w:rsid w:val="00235E39"/>
    <w:rsid w:val="00236AA8"/>
    <w:rsid w:val="00237DE4"/>
    <w:rsid w:val="00242390"/>
    <w:rsid w:val="00244D0E"/>
    <w:rsid w:val="0024780A"/>
    <w:rsid w:val="00252A71"/>
    <w:rsid w:val="00254A17"/>
    <w:rsid w:val="002559DC"/>
    <w:rsid w:val="00256F5F"/>
    <w:rsid w:val="002614B2"/>
    <w:rsid w:val="00270487"/>
    <w:rsid w:val="00275318"/>
    <w:rsid w:val="002756F3"/>
    <w:rsid w:val="0027620B"/>
    <w:rsid w:val="002823DF"/>
    <w:rsid w:val="00284295"/>
    <w:rsid w:val="00286614"/>
    <w:rsid w:val="002923E7"/>
    <w:rsid w:val="00297DBC"/>
    <w:rsid w:val="002A18FF"/>
    <w:rsid w:val="002A30B0"/>
    <w:rsid w:val="002A51A7"/>
    <w:rsid w:val="002A562E"/>
    <w:rsid w:val="002B2896"/>
    <w:rsid w:val="002B7044"/>
    <w:rsid w:val="002C0687"/>
    <w:rsid w:val="002C1BE8"/>
    <w:rsid w:val="002C2AA1"/>
    <w:rsid w:val="002C55B5"/>
    <w:rsid w:val="002C7100"/>
    <w:rsid w:val="002C7B92"/>
    <w:rsid w:val="002D3560"/>
    <w:rsid w:val="002D454D"/>
    <w:rsid w:val="002E631F"/>
    <w:rsid w:val="002E78BF"/>
    <w:rsid w:val="002F30AC"/>
    <w:rsid w:val="002F4B56"/>
    <w:rsid w:val="0030124E"/>
    <w:rsid w:val="0030213D"/>
    <w:rsid w:val="00306083"/>
    <w:rsid w:val="003060CC"/>
    <w:rsid w:val="003117EE"/>
    <w:rsid w:val="0031669C"/>
    <w:rsid w:val="003174A2"/>
    <w:rsid w:val="003227AB"/>
    <w:rsid w:val="00322EF6"/>
    <w:rsid w:val="00330D28"/>
    <w:rsid w:val="003345AA"/>
    <w:rsid w:val="00334EC8"/>
    <w:rsid w:val="00336841"/>
    <w:rsid w:val="00355AE0"/>
    <w:rsid w:val="00357A90"/>
    <w:rsid w:val="00371CA0"/>
    <w:rsid w:val="00374BD2"/>
    <w:rsid w:val="003761C4"/>
    <w:rsid w:val="00381F44"/>
    <w:rsid w:val="003827DF"/>
    <w:rsid w:val="003865D3"/>
    <w:rsid w:val="00387262"/>
    <w:rsid w:val="00390342"/>
    <w:rsid w:val="0039129D"/>
    <w:rsid w:val="003927DF"/>
    <w:rsid w:val="00394ED0"/>
    <w:rsid w:val="003A2991"/>
    <w:rsid w:val="003A47EB"/>
    <w:rsid w:val="003A55EE"/>
    <w:rsid w:val="003A5EDC"/>
    <w:rsid w:val="003A7B87"/>
    <w:rsid w:val="003B30C8"/>
    <w:rsid w:val="003B37D3"/>
    <w:rsid w:val="003B4E14"/>
    <w:rsid w:val="003C4587"/>
    <w:rsid w:val="003C7CF8"/>
    <w:rsid w:val="003D2F92"/>
    <w:rsid w:val="003D5243"/>
    <w:rsid w:val="003D64DC"/>
    <w:rsid w:val="003E4234"/>
    <w:rsid w:val="003E7D48"/>
    <w:rsid w:val="003F20EA"/>
    <w:rsid w:val="003F71C8"/>
    <w:rsid w:val="003F7425"/>
    <w:rsid w:val="0040457F"/>
    <w:rsid w:val="00410C57"/>
    <w:rsid w:val="00417AAA"/>
    <w:rsid w:val="00417BD7"/>
    <w:rsid w:val="00421A99"/>
    <w:rsid w:val="00421DAF"/>
    <w:rsid w:val="00423BCF"/>
    <w:rsid w:val="00426BB8"/>
    <w:rsid w:val="004359DD"/>
    <w:rsid w:val="004364E0"/>
    <w:rsid w:val="00447465"/>
    <w:rsid w:val="00450986"/>
    <w:rsid w:val="00450C56"/>
    <w:rsid w:val="0045252A"/>
    <w:rsid w:val="00453F6C"/>
    <w:rsid w:val="004569BC"/>
    <w:rsid w:val="00456ADB"/>
    <w:rsid w:val="0046101C"/>
    <w:rsid w:val="0047338A"/>
    <w:rsid w:val="004733E6"/>
    <w:rsid w:val="00473F12"/>
    <w:rsid w:val="004755A0"/>
    <w:rsid w:val="00476231"/>
    <w:rsid w:val="0048230C"/>
    <w:rsid w:val="00484646"/>
    <w:rsid w:val="004878C1"/>
    <w:rsid w:val="0049288C"/>
    <w:rsid w:val="0049347F"/>
    <w:rsid w:val="00493724"/>
    <w:rsid w:val="004A2179"/>
    <w:rsid w:val="004A3EAE"/>
    <w:rsid w:val="004B2703"/>
    <w:rsid w:val="004B62A4"/>
    <w:rsid w:val="004C76DC"/>
    <w:rsid w:val="004D59A0"/>
    <w:rsid w:val="004D7EA8"/>
    <w:rsid w:val="004E3847"/>
    <w:rsid w:val="004F1CED"/>
    <w:rsid w:val="004F4073"/>
    <w:rsid w:val="004F4848"/>
    <w:rsid w:val="004F4BCB"/>
    <w:rsid w:val="00504404"/>
    <w:rsid w:val="00504525"/>
    <w:rsid w:val="00505BF8"/>
    <w:rsid w:val="00507FA0"/>
    <w:rsid w:val="0051047D"/>
    <w:rsid w:val="005132C6"/>
    <w:rsid w:val="005148AB"/>
    <w:rsid w:val="00516783"/>
    <w:rsid w:val="00520243"/>
    <w:rsid w:val="0052161B"/>
    <w:rsid w:val="00532F95"/>
    <w:rsid w:val="005344A6"/>
    <w:rsid w:val="005459CF"/>
    <w:rsid w:val="0054677E"/>
    <w:rsid w:val="0055025F"/>
    <w:rsid w:val="00551630"/>
    <w:rsid w:val="0055200F"/>
    <w:rsid w:val="00554FD6"/>
    <w:rsid w:val="00560C54"/>
    <w:rsid w:val="005635AB"/>
    <w:rsid w:val="005643EF"/>
    <w:rsid w:val="0056506D"/>
    <w:rsid w:val="005656CC"/>
    <w:rsid w:val="00565C0E"/>
    <w:rsid w:val="00577036"/>
    <w:rsid w:val="00577362"/>
    <w:rsid w:val="00580109"/>
    <w:rsid w:val="00581796"/>
    <w:rsid w:val="005934DA"/>
    <w:rsid w:val="005946E3"/>
    <w:rsid w:val="00595665"/>
    <w:rsid w:val="005A2F3F"/>
    <w:rsid w:val="005A341E"/>
    <w:rsid w:val="005B2A17"/>
    <w:rsid w:val="005B37D7"/>
    <w:rsid w:val="005B5425"/>
    <w:rsid w:val="005C0A03"/>
    <w:rsid w:val="005C479D"/>
    <w:rsid w:val="005C4A21"/>
    <w:rsid w:val="005E2227"/>
    <w:rsid w:val="005E79C2"/>
    <w:rsid w:val="00605243"/>
    <w:rsid w:val="00614FF5"/>
    <w:rsid w:val="006160DB"/>
    <w:rsid w:val="006168D7"/>
    <w:rsid w:val="00621AF3"/>
    <w:rsid w:val="006255A4"/>
    <w:rsid w:val="0062731D"/>
    <w:rsid w:val="0062789D"/>
    <w:rsid w:val="006372FD"/>
    <w:rsid w:val="0064359E"/>
    <w:rsid w:val="00646712"/>
    <w:rsid w:val="00651385"/>
    <w:rsid w:val="0065260C"/>
    <w:rsid w:val="00664A30"/>
    <w:rsid w:val="00665B5A"/>
    <w:rsid w:val="006718DF"/>
    <w:rsid w:val="006728CE"/>
    <w:rsid w:val="0067325E"/>
    <w:rsid w:val="006770CC"/>
    <w:rsid w:val="00677430"/>
    <w:rsid w:val="00677A33"/>
    <w:rsid w:val="00684F69"/>
    <w:rsid w:val="00690AFD"/>
    <w:rsid w:val="0069196A"/>
    <w:rsid w:val="006A032C"/>
    <w:rsid w:val="006A1ECD"/>
    <w:rsid w:val="006B3C13"/>
    <w:rsid w:val="006B4327"/>
    <w:rsid w:val="006B4DA2"/>
    <w:rsid w:val="006B6AC3"/>
    <w:rsid w:val="006C013A"/>
    <w:rsid w:val="006C3B4F"/>
    <w:rsid w:val="006C6CED"/>
    <w:rsid w:val="006C7644"/>
    <w:rsid w:val="006D0853"/>
    <w:rsid w:val="006D6455"/>
    <w:rsid w:val="006E3E4B"/>
    <w:rsid w:val="006E5E48"/>
    <w:rsid w:val="006F0F79"/>
    <w:rsid w:val="007014F4"/>
    <w:rsid w:val="00701B70"/>
    <w:rsid w:val="00705F3B"/>
    <w:rsid w:val="007213D3"/>
    <w:rsid w:val="00721E7F"/>
    <w:rsid w:val="007245CD"/>
    <w:rsid w:val="00727C71"/>
    <w:rsid w:val="007348DD"/>
    <w:rsid w:val="00734B4B"/>
    <w:rsid w:val="0073593C"/>
    <w:rsid w:val="007375EB"/>
    <w:rsid w:val="00744D27"/>
    <w:rsid w:val="00753C64"/>
    <w:rsid w:val="00755047"/>
    <w:rsid w:val="007570ED"/>
    <w:rsid w:val="007579D1"/>
    <w:rsid w:val="00760FE2"/>
    <w:rsid w:val="00762E0F"/>
    <w:rsid w:val="00762F69"/>
    <w:rsid w:val="00765091"/>
    <w:rsid w:val="007715C9"/>
    <w:rsid w:val="0077580B"/>
    <w:rsid w:val="007761DF"/>
    <w:rsid w:val="007822BF"/>
    <w:rsid w:val="00782C10"/>
    <w:rsid w:val="007A1A96"/>
    <w:rsid w:val="007A1FC8"/>
    <w:rsid w:val="007A78DA"/>
    <w:rsid w:val="007B0C1C"/>
    <w:rsid w:val="007B413E"/>
    <w:rsid w:val="007B5EA3"/>
    <w:rsid w:val="007C24F9"/>
    <w:rsid w:val="007C3DE0"/>
    <w:rsid w:val="007D128E"/>
    <w:rsid w:val="007D6CCC"/>
    <w:rsid w:val="007D7D41"/>
    <w:rsid w:val="007E1B52"/>
    <w:rsid w:val="007E6AE6"/>
    <w:rsid w:val="007F105C"/>
    <w:rsid w:val="007F21FB"/>
    <w:rsid w:val="007F3EC7"/>
    <w:rsid w:val="007F4B0B"/>
    <w:rsid w:val="007F61AE"/>
    <w:rsid w:val="0080352E"/>
    <w:rsid w:val="00803F4C"/>
    <w:rsid w:val="00803F9A"/>
    <w:rsid w:val="0080555A"/>
    <w:rsid w:val="00810D2D"/>
    <w:rsid w:val="00812A77"/>
    <w:rsid w:val="00812E83"/>
    <w:rsid w:val="0081315E"/>
    <w:rsid w:val="008175ED"/>
    <w:rsid w:val="00822DB2"/>
    <w:rsid w:val="00844C31"/>
    <w:rsid w:val="008506CC"/>
    <w:rsid w:val="00851623"/>
    <w:rsid w:val="00852F09"/>
    <w:rsid w:val="00857540"/>
    <w:rsid w:val="00857957"/>
    <w:rsid w:val="0086026E"/>
    <w:rsid w:val="00871937"/>
    <w:rsid w:val="00871AD3"/>
    <w:rsid w:val="00872CAB"/>
    <w:rsid w:val="00880ED3"/>
    <w:rsid w:val="0088146E"/>
    <w:rsid w:val="008835B1"/>
    <w:rsid w:val="008927EA"/>
    <w:rsid w:val="008A3BB4"/>
    <w:rsid w:val="008A3E22"/>
    <w:rsid w:val="008A5AF2"/>
    <w:rsid w:val="008A658E"/>
    <w:rsid w:val="008A6A92"/>
    <w:rsid w:val="008B1206"/>
    <w:rsid w:val="008B12FE"/>
    <w:rsid w:val="008B7927"/>
    <w:rsid w:val="008C0881"/>
    <w:rsid w:val="008C2948"/>
    <w:rsid w:val="008D3ADA"/>
    <w:rsid w:val="008E1840"/>
    <w:rsid w:val="008E6CFA"/>
    <w:rsid w:val="008F05E4"/>
    <w:rsid w:val="008F7E43"/>
    <w:rsid w:val="00902711"/>
    <w:rsid w:val="0090325E"/>
    <w:rsid w:val="009061CB"/>
    <w:rsid w:val="0090670B"/>
    <w:rsid w:val="009143AD"/>
    <w:rsid w:val="00916293"/>
    <w:rsid w:val="009174C0"/>
    <w:rsid w:val="009219F7"/>
    <w:rsid w:val="00921AE8"/>
    <w:rsid w:val="00930021"/>
    <w:rsid w:val="009326C9"/>
    <w:rsid w:val="00933799"/>
    <w:rsid w:val="00937BAA"/>
    <w:rsid w:val="009418C4"/>
    <w:rsid w:val="00943153"/>
    <w:rsid w:val="00943FCE"/>
    <w:rsid w:val="0094722A"/>
    <w:rsid w:val="0094731C"/>
    <w:rsid w:val="00954603"/>
    <w:rsid w:val="009551FC"/>
    <w:rsid w:val="00955C2D"/>
    <w:rsid w:val="00963F05"/>
    <w:rsid w:val="00973989"/>
    <w:rsid w:val="00975A62"/>
    <w:rsid w:val="00977CB0"/>
    <w:rsid w:val="00985320"/>
    <w:rsid w:val="00986DC2"/>
    <w:rsid w:val="00991315"/>
    <w:rsid w:val="00992C13"/>
    <w:rsid w:val="00993DF4"/>
    <w:rsid w:val="00995B65"/>
    <w:rsid w:val="0099678B"/>
    <w:rsid w:val="00996ABF"/>
    <w:rsid w:val="009A227A"/>
    <w:rsid w:val="009A437E"/>
    <w:rsid w:val="009B349A"/>
    <w:rsid w:val="009B4168"/>
    <w:rsid w:val="009B4327"/>
    <w:rsid w:val="009B5D67"/>
    <w:rsid w:val="009B66D2"/>
    <w:rsid w:val="009C2C8C"/>
    <w:rsid w:val="009C40F7"/>
    <w:rsid w:val="009C554A"/>
    <w:rsid w:val="009D1487"/>
    <w:rsid w:val="009D1D7B"/>
    <w:rsid w:val="009D23F8"/>
    <w:rsid w:val="009D288A"/>
    <w:rsid w:val="009E23EA"/>
    <w:rsid w:val="009E2E9D"/>
    <w:rsid w:val="009F4EAB"/>
    <w:rsid w:val="009F58CA"/>
    <w:rsid w:val="00A06537"/>
    <w:rsid w:val="00A070E9"/>
    <w:rsid w:val="00A079F3"/>
    <w:rsid w:val="00A122D0"/>
    <w:rsid w:val="00A122EC"/>
    <w:rsid w:val="00A14C38"/>
    <w:rsid w:val="00A14E6F"/>
    <w:rsid w:val="00A24786"/>
    <w:rsid w:val="00A31D2D"/>
    <w:rsid w:val="00A32138"/>
    <w:rsid w:val="00A34BD6"/>
    <w:rsid w:val="00A36F5C"/>
    <w:rsid w:val="00A42364"/>
    <w:rsid w:val="00A44792"/>
    <w:rsid w:val="00A45D2F"/>
    <w:rsid w:val="00A4663C"/>
    <w:rsid w:val="00A477A5"/>
    <w:rsid w:val="00A608E5"/>
    <w:rsid w:val="00A62CF0"/>
    <w:rsid w:val="00A76769"/>
    <w:rsid w:val="00A805A1"/>
    <w:rsid w:val="00A832F5"/>
    <w:rsid w:val="00A92C37"/>
    <w:rsid w:val="00A96595"/>
    <w:rsid w:val="00AA1199"/>
    <w:rsid w:val="00AA48B0"/>
    <w:rsid w:val="00AB4B8F"/>
    <w:rsid w:val="00AC5BCE"/>
    <w:rsid w:val="00AE1776"/>
    <w:rsid w:val="00AE1C95"/>
    <w:rsid w:val="00AF03C6"/>
    <w:rsid w:val="00AF3D0B"/>
    <w:rsid w:val="00B002DB"/>
    <w:rsid w:val="00B01986"/>
    <w:rsid w:val="00B01CBC"/>
    <w:rsid w:val="00B07BCB"/>
    <w:rsid w:val="00B13923"/>
    <w:rsid w:val="00B145F0"/>
    <w:rsid w:val="00B21699"/>
    <w:rsid w:val="00B24BE6"/>
    <w:rsid w:val="00B31323"/>
    <w:rsid w:val="00B33901"/>
    <w:rsid w:val="00B350DA"/>
    <w:rsid w:val="00B36108"/>
    <w:rsid w:val="00B4185C"/>
    <w:rsid w:val="00B4271A"/>
    <w:rsid w:val="00B43260"/>
    <w:rsid w:val="00B5061B"/>
    <w:rsid w:val="00B54109"/>
    <w:rsid w:val="00B54C3D"/>
    <w:rsid w:val="00B57FE1"/>
    <w:rsid w:val="00B606F6"/>
    <w:rsid w:val="00B61B3E"/>
    <w:rsid w:val="00B626D8"/>
    <w:rsid w:val="00B64640"/>
    <w:rsid w:val="00B6477A"/>
    <w:rsid w:val="00B64DE5"/>
    <w:rsid w:val="00B6759C"/>
    <w:rsid w:val="00B712B6"/>
    <w:rsid w:val="00B71365"/>
    <w:rsid w:val="00B714C9"/>
    <w:rsid w:val="00B716CD"/>
    <w:rsid w:val="00B75088"/>
    <w:rsid w:val="00B76F84"/>
    <w:rsid w:val="00B80999"/>
    <w:rsid w:val="00B82AAD"/>
    <w:rsid w:val="00B82F26"/>
    <w:rsid w:val="00B9632F"/>
    <w:rsid w:val="00BA60BC"/>
    <w:rsid w:val="00BA796E"/>
    <w:rsid w:val="00BB3D36"/>
    <w:rsid w:val="00BC23C9"/>
    <w:rsid w:val="00BD09A5"/>
    <w:rsid w:val="00BD1C71"/>
    <w:rsid w:val="00BD1FCD"/>
    <w:rsid w:val="00BD673A"/>
    <w:rsid w:val="00BE2055"/>
    <w:rsid w:val="00BE3243"/>
    <w:rsid w:val="00BE3F3D"/>
    <w:rsid w:val="00BE6FCE"/>
    <w:rsid w:val="00BF2C6E"/>
    <w:rsid w:val="00BF4FA3"/>
    <w:rsid w:val="00BF5E81"/>
    <w:rsid w:val="00C0105D"/>
    <w:rsid w:val="00C0215E"/>
    <w:rsid w:val="00C10605"/>
    <w:rsid w:val="00C10B9B"/>
    <w:rsid w:val="00C1263E"/>
    <w:rsid w:val="00C16942"/>
    <w:rsid w:val="00C17C47"/>
    <w:rsid w:val="00C2421E"/>
    <w:rsid w:val="00C255FB"/>
    <w:rsid w:val="00C3195F"/>
    <w:rsid w:val="00C42A7F"/>
    <w:rsid w:val="00C563C5"/>
    <w:rsid w:val="00C730A0"/>
    <w:rsid w:val="00C75643"/>
    <w:rsid w:val="00C775A3"/>
    <w:rsid w:val="00C82565"/>
    <w:rsid w:val="00C8736D"/>
    <w:rsid w:val="00CA31E5"/>
    <w:rsid w:val="00CA38A6"/>
    <w:rsid w:val="00CA4892"/>
    <w:rsid w:val="00CB12E1"/>
    <w:rsid w:val="00CB28CC"/>
    <w:rsid w:val="00CC67E2"/>
    <w:rsid w:val="00CD50BF"/>
    <w:rsid w:val="00CD785D"/>
    <w:rsid w:val="00CE1781"/>
    <w:rsid w:val="00CE335E"/>
    <w:rsid w:val="00CE3783"/>
    <w:rsid w:val="00D01FA9"/>
    <w:rsid w:val="00D0462C"/>
    <w:rsid w:val="00D04F96"/>
    <w:rsid w:val="00D069A5"/>
    <w:rsid w:val="00D144E1"/>
    <w:rsid w:val="00D150CB"/>
    <w:rsid w:val="00D23E2E"/>
    <w:rsid w:val="00D3184D"/>
    <w:rsid w:val="00D32DF8"/>
    <w:rsid w:val="00D45970"/>
    <w:rsid w:val="00D4772A"/>
    <w:rsid w:val="00D61BE2"/>
    <w:rsid w:val="00D66C39"/>
    <w:rsid w:val="00D705C8"/>
    <w:rsid w:val="00D70B2F"/>
    <w:rsid w:val="00D71166"/>
    <w:rsid w:val="00D71763"/>
    <w:rsid w:val="00D75C76"/>
    <w:rsid w:val="00D77619"/>
    <w:rsid w:val="00D80243"/>
    <w:rsid w:val="00D85C26"/>
    <w:rsid w:val="00D90E87"/>
    <w:rsid w:val="00D936DB"/>
    <w:rsid w:val="00D976FF"/>
    <w:rsid w:val="00DA5B11"/>
    <w:rsid w:val="00DA615F"/>
    <w:rsid w:val="00DA6C24"/>
    <w:rsid w:val="00DA7471"/>
    <w:rsid w:val="00DB093C"/>
    <w:rsid w:val="00DC0AF0"/>
    <w:rsid w:val="00DC3E89"/>
    <w:rsid w:val="00DC457B"/>
    <w:rsid w:val="00DC49C0"/>
    <w:rsid w:val="00DC50B9"/>
    <w:rsid w:val="00DC75F7"/>
    <w:rsid w:val="00DD1FF0"/>
    <w:rsid w:val="00DD2B01"/>
    <w:rsid w:val="00DD343E"/>
    <w:rsid w:val="00DD722D"/>
    <w:rsid w:val="00DE02D5"/>
    <w:rsid w:val="00DF0667"/>
    <w:rsid w:val="00E05082"/>
    <w:rsid w:val="00E052B7"/>
    <w:rsid w:val="00E142CD"/>
    <w:rsid w:val="00E15ECB"/>
    <w:rsid w:val="00E30873"/>
    <w:rsid w:val="00E524BB"/>
    <w:rsid w:val="00E53DEB"/>
    <w:rsid w:val="00E560EB"/>
    <w:rsid w:val="00E61C06"/>
    <w:rsid w:val="00E64288"/>
    <w:rsid w:val="00E66299"/>
    <w:rsid w:val="00E6654B"/>
    <w:rsid w:val="00E67C03"/>
    <w:rsid w:val="00E70624"/>
    <w:rsid w:val="00E73C10"/>
    <w:rsid w:val="00E755B3"/>
    <w:rsid w:val="00E77E44"/>
    <w:rsid w:val="00E86913"/>
    <w:rsid w:val="00E96E17"/>
    <w:rsid w:val="00E9758C"/>
    <w:rsid w:val="00EA1A33"/>
    <w:rsid w:val="00EA629E"/>
    <w:rsid w:val="00EA7AB5"/>
    <w:rsid w:val="00EB309B"/>
    <w:rsid w:val="00EB4754"/>
    <w:rsid w:val="00EC0FA8"/>
    <w:rsid w:val="00EC3663"/>
    <w:rsid w:val="00ED77D8"/>
    <w:rsid w:val="00EE3F74"/>
    <w:rsid w:val="00EE4AE4"/>
    <w:rsid w:val="00EE6221"/>
    <w:rsid w:val="00EE751F"/>
    <w:rsid w:val="00EE7897"/>
    <w:rsid w:val="00EE7972"/>
    <w:rsid w:val="00EF01B0"/>
    <w:rsid w:val="00EF1B70"/>
    <w:rsid w:val="00EF5F22"/>
    <w:rsid w:val="00EF6085"/>
    <w:rsid w:val="00EF7C31"/>
    <w:rsid w:val="00F019B2"/>
    <w:rsid w:val="00F075D2"/>
    <w:rsid w:val="00F12B55"/>
    <w:rsid w:val="00F132AF"/>
    <w:rsid w:val="00F15A45"/>
    <w:rsid w:val="00F16B8A"/>
    <w:rsid w:val="00F21129"/>
    <w:rsid w:val="00F257B6"/>
    <w:rsid w:val="00F27C01"/>
    <w:rsid w:val="00F3120B"/>
    <w:rsid w:val="00F32F91"/>
    <w:rsid w:val="00F33BA9"/>
    <w:rsid w:val="00F4128A"/>
    <w:rsid w:val="00F4233D"/>
    <w:rsid w:val="00F4792E"/>
    <w:rsid w:val="00F53FFE"/>
    <w:rsid w:val="00F618AB"/>
    <w:rsid w:val="00F6251B"/>
    <w:rsid w:val="00F6271D"/>
    <w:rsid w:val="00F63C8D"/>
    <w:rsid w:val="00F67548"/>
    <w:rsid w:val="00F67FEC"/>
    <w:rsid w:val="00F850C0"/>
    <w:rsid w:val="00F92B91"/>
    <w:rsid w:val="00F92CD7"/>
    <w:rsid w:val="00F95E88"/>
    <w:rsid w:val="00FA05BC"/>
    <w:rsid w:val="00FA2E0A"/>
    <w:rsid w:val="00FA3292"/>
    <w:rsid w:val="00FA38D5"/>
    <w:rsid w:val="00FA45B9"/>
    <w:rsid w:val="00FA790E"/>
    <w:rsid w:val="00FB022D"/>
    <w:rsid w:val="00FB1B39"/>
    <w:rsid w:val="00FB429C"/>
    <w:rsid w:val="00FC0657"/>
    <w:rsid w:val="00FC27FC"/>
    <w:rsid w:val="00FC2ACD"/>
    <w:rsid w:val="00FC3E65"/>
    <w:rsid w:val="00FC68D6"/>
    <w:rsid w:val="00FC6CA0"/>
    <w:rsid w:val="00FD1CBF"/>
    <w:rsid w:val="00FE59A2"/>
    <w:rsid w:val="00FE5ABD"/>
    <w:rsid w:val="00FE6B2F"/>
    <w:rsid w:val="00FF0CD6"/>
    <w:rsid w:val="00FF2DB5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F92CD7"/>
    <w:pPr>
      <w:keepNext/>
      <w:numPr>
        <w:numId w:val="1"/>
      </w:numPr>
      <w:tabs>
        <w:tab w:val="left" w:pos="0"/>
      </w:tabs>
      <w:spacing w:before="240" w:after="120"/>
      <w:ind w:left="425" w:hanging="425"/>
      <w:outlineLvl w:val="0"/>
    </w:pPr>
    <w:rPr>
      <w:b/>
      <w:bCs/>
      <w:szCs w:val="20"/>
    </w:rPr>
  </w:style>
  <w:style w:type="paragraph" w:styleId="Ttulo2">
    <w:name w:val="heading 2"/>
    <w:basedOn w:val="Normal"/>
    <w:next w:val="Normal"/>
    <w:link w:val="Ttulo2Char"/>
    <w:qFormat/>
    <w:rsid w:val="00F92CD7"/>
    <w:pPr>
      <w:keepNext/>
      <w:numPr>
        <w:ilvl w:val="1"/>
        <w:numId w:val="1"/>
      </w:numPr>
      <w:tabs>
        <w:tab w:val="left" w:pos="142"/>
      </w:tabs>
      <w:spacing w:after="240"/>
      <w:jc w:val="both"/>
      <w:outlineLvl w:val="1"/>
    </w:pPr>
    <w:rPr>
      <w:bCs/>
    </w:rPr>
  </w:style>
  <w:style w:type="paragraph" w:styleId="Ttulo3">
    <w:name w:val="heading 3"/>
    <w:basedOn w:val="Normal"/>
    <w:next w:val="Normal"/>
    <w:qFormat/>
    <w:rsid w:val="007213D3"/>
    <w:pPr>
      <w:keepNext/>
      <w:numPr>
        <w:ilvl w:val="2"/>
        <w:numId w:val="1"/>
      </w:numPr>
      <w:tabs>
        <w:tab w:val="left" w:pos="0"/>
      </w:tabs>
      <w:spacing w:after="240"/>
      <w:jc w:val="both"/>
      <w:outlineLvl w:val="2"/>
    </w:pPr>
    <w:rPr>
      <w:bCs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  <w:bCs/>
      <w:color w:val="00000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b/>
      <w:sz w:val="20"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tabs>
        <w:tab w:val="left" w:pos="0"/>
      </w:tabs>
      <w:jc w:val="center"/>
      <w:outlineLvl w:val="5"/>
    </w:pPr>
    <w:rPr>
      <w:b/>
      <w:szCs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tabs>
        <w:tab w:val="left" w:pos="0"/>
      </w:tabs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spacing w:after="60"/>
      <w:outlineLvl w:val="7"/>
    </w:pPr>
    <w:rPr>
      <w:b/>
      <w:szCs w:val="20"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tabs>
        <w:tab w:val="left" w:pos="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2">
    <w:name w:val="WW8Num3z2"/>
    <w:rPr>
      <w:b w:val="0"/>
      <w:color w:val="auto"/>
    </w:rPr>
  </w:style>
  <w:style w:type="character" w:customStyle="1" w:styleId="WW8Num5z1">
    <w:name w:val="WW8Num5z1"/>
    <w:rPr>
      <w:rFonts w:ascii="Arial" w:hAnsi="Arial" w:cs="Arial"/>
      <w:b/>
      <w:color w:val="000000"/>
      <w:sz w:val="22"/>
      <w:u w:val="single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b w:val="0"/>
    </w:rPr>
  </w:style>
  <w:style w:type="character" w:customStyle="1" w:styleId="WW8Num3z0">
    <w:name w:val="WW8Num3z0"/>
    <w:rPr>
      <w:b w:val="0"/>
      <w:i w:val="0"/>
    </w:rPr>
  </w:style>
  <w:style w:type="character" w:customStyle="1" w:styleId="WW8Num4z0">
    <w:name w:val="WW8Num4z0"/>
    <w:rPr>
      <w:color w:val="000000"/>
    </w:rPr>
  </w:style>
  <w:style w:type="character" w:customStyle="1" w:styleId="WW8Num5z2">
    <w:name w:val="WW8Num5z2"/>
    <w:rPr>
      <w:rFonts w:ascii="Times New Roman" w:eastAsia="Times New Roman" w:hAnsi="Times New Roman" w:cs="Times New Roman"/>
    </w:rPr>
  </w:style>
  <w:style w:type="character" w:customStyle="1" w:styleId="WW8Num8z2">
    <w:name w:val="WW8Num8z2"/>
    <w:rPr>
      <w:b w:val="0"/>
    </w:rPr>
  </w:style>
  <w:style w:type="character" w:customStyle="1" w:styleId="WW8Num9z0">
    <w:name w:val="WW8Num9z0"/>
    <w:rPr>
      <w:b/>
      <w:color w:val="000000"/>
    </w:rPr>
  </w:style>
  <w:style w:type="character" w:customStyle="1" w:styleId="WW8Num9z1">
    <w:name w:val="WW8Num9z1"/>
    <w:rPr>
      <w:b w:val="0"/>
      <w:color w:val="000000"/>
    </w:rPr>
  </w:style>
  <w:style w:type="character" w:customStyle="1" w:styleId="WW8Num9z3">
    <w:name w:val="WW8Num9z3"/>
    <w:rPr>
      <w:color w:val="000000"/>
    </w:rPr>
  </w:style>
  <w:style w:type="character" w:customStyle="1" w:styleId="WW8Num13z0">
    <w:name w:val="WW8Num13z0"/>
    <w:rPr>
      <w:rFonts w:ascii="Times New Roman" w:hAnsi="Times New Roman" w:cs="Times New Roman"/>
      <w:color w:val="000000"/>
    </w:rPr>
  </w:style>
  <w:style w:type="character" w:customStyle="1" w:styleId="WW8Num15z0">
    <w:name w:val="WW8Num15z0"/>
    <w:rPr>
      <w:rFonts w:ascii="Times New Roman" w:hAnsi="Times New Roman" w:cs="Times New Roman"/>
      <w:color w:val="000000"/>
    </w:rPr>
  </w:style>
  <w:style w:type="character" w:customStyle="1" w:styleId="WW-Fontepargpadro1">
    <w:name w:val="WW-Fonte parág. padrão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"/>
  </w:style>
  <w:style w:type="character" w:customStyle="1" w:styleId="Char">
    <w:name w:val="Char"/>
    <w:rPr>
      <w:sz w:val="24"/>
      <w:szCs w:val="24"/>
    </w:rPr>
  </w:style>
  <w:style w:type="character" w:customStyle="1" w:styleId="WW-Char">
    <w:name w:val="WW- Char"/>
    <w:rPr>
      <w:b/>
      <w:bCs/>
      <w:color w:val="000000"/>
      <w:sz w:val="24"/>
      <w:szCs w:val="24"/>
    </w:rPr>
  </w:style>
  <w:style w:type="character" w:customStyle="1" w:styleId="WW-Char1">
    <w:name w:val="WW- Char1"/>
    <w:rPr>
      <w:b/>
      <w:sz w:val="24"/>
    </w:rPr>
  </w:style>
  <w:style w:type="character" w:customStyle="1" w:styleId="WW-Char12">
    <w:name w:val="WW- Char12"/>
    <w:rPr>
      <w:b/>
      <w:sz w:val="24"/>
    </w:rPr>
  </w:style>
  <w:style w:type="character" w:customStyle="1" w:styleId="WW-Char123">
    <w:name w:val="WW- Char123"/>
    <w:rPr>
      <w:sz w:val="24"/>
    </w:rPr>
  </w:style>
  <w:style w:type="character" w:customStyle="1" w:styleId="WW-Char1234">
    <w:name w:val="WW- Char1234"/>
    <w:rPr>
      <w:sz w:val="24"/>
      <w:szCs w:val="24"/>
    </w:rPr>
  </w:style>
  <w:style w:type="character" w:customStyle="1" w:styleId="mensagem2">
    <w:name w:val="mensagem2"/>
    <w:basedOn w:val="WW-Fontepargpadro1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-Caracteresdenotadefim">
    <w:name w:val="WW-Caracteres de nota de fim"/>
  </w:style>
  <w:style w:type="character" w:customStyle="1" w:styleId="tex3">
    <w:name w:val="tex3"/>
    <w:basedOn w:val="Fontepargpadro1"/>
  </w:style>
  <w:style w:type="character" w:styleId="Forte">
    <w:name w:val="Strong"/>
    <w:uiPriority w:val="22"/>
    <w:qFormat/>
    <w:rPr>
      <w:b/>
    </w:rPr>
  </w:style>
  <w:style w:type="character" w:customStyle="1" w:styleId="CorpodetextoChar">
    <w:name w:val="Corpo de texto Char"/>
    <w:uiPriority w:val="99"/>
    <w:rPr>
      <w:sz w:val="24"/>
    </w:rPr>
  </w:style>
  <w:style w:type="character" w:customStyle="1" w:styleId="WW-Absatz-Standardschriftart11111111111111111111111111">
    <w:name w:val="WW-Absatz-Standardschriftart1111111111111111111111111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link w:val="CorpodetextoChar1"/>
    <w:uiPriority w:val="99"/>
    <w:pPr>
      <w:jc w:val="both"/>
    </w:pPr>
    <w:rPr>
      <w:szCs w:val="20"/>
    </w:rPr>
  </w:style>
  <w:style w:type="paragraph" w:styleId="Lista">
    <w:name w:val="List"/>
    <w:basedOn w:val="Corpodetexto"/>
    <w:rPr>
      <w:rFonts w:cs="Mangal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Ttulo">
    <w:name w:val="Title"/>
    <w:basedOn w:val="Normal"/>
    <w:next w:val="Corpodetexto"/>
    <w:qFormat/>
    <w:pPr>
      <w:widowControl w:val="0"/>
      <w:tabs>
        <w:tab w:val="center" w:pos="4592"/>
      </w:tabs>
      <w:autoSpaceDE w:val="0"/>
      <w:jc w:val="center"/>
    </w:pPr>
    <w:rPr>
      <w:color w:val="000000"/>
      <w:sz w:val="28"/>
      <w:szCs w:val="28"/>
    </w:rPr>
  </w:style>
  <w:style w:type="paragraph" w:styleId="Subttulo">
    <w:name w:val="Subtitle"/>
    <w:basedOn w:val="Ttulo10"/>
    <w:next w:val="Corpodetexto"/>
    <w:qFormat/>
    <w:pPr>
      <w:jc w:val="center"/>
    </w:pPr>
    <w:rPr>
      <w:i/>
      <w:iCs/>
    </w:rPr>
  </w:style>
  <w:style w:type="paragraph" w:styleId="Cabealho">
    <w:name w:val="header"/>
    <w:aliases w:val="encabezado,Cabeçalho1,Heading 1a,Cabeçalho 1,Cabeçalho superior,hd,he,Cabeçalho superior Char Char Char Char,Cabeçalho superior Char Char Char,Char,foote, Char2"/>
    <w:basedOn w:val="Normal"/>
    <w:link w:val="CabealhoChar"/>
    <w:pPr>
      <w:tabs>
        <w:tab w:val="center" w:pos="4419"/>
        <w:tab w:val="right" w:pos="8838"/>
      </w:tabs>
    </w:pPr>
    <w:rPr>
      <w:rFonts w:ascii="Arial" w:hAnsi="Arial"/>
      <w:szCs w:val="20"/>
    </w:rPr>
  </w:style>
  <w:style w:type="paragraph" w:customStyle="1" w:styleId="Textoembloco1">
    <w:name w:val="Texto em bloco1"/>
    <w:basedOn w:val="Normal"/>
    <w:pPr>
      <w:ind w:left="284" w:right="174"/>
      <w:jc w:val="both"/>
    </w:pPr>
    <w:rPr>
      <w:rFonts w:ascii="Tahoma" w:hAnsi="Tahoma" w:cs="Tahoma"/>
      <w:sz w:val="22"/>
      <w:szCs w:val="20"/>
    </w:rPr>
  </w:style>
  <w:style w:type="paragraph" w:customStyle="1" w:styleId="Corpodetexto31">
    <w:name w:val="Corpo de texto 31"/>
    <w:basedOn w:val="Normal"/>
    <w:pPr>
      <w:tabs>
        <w:tab w:val="left" w:pos="1134"/>
      </w:tabs>
      <w:jc w:val="center"/>
    </w:pPr>
    <w:rPr>
      <w:rFonts w:ascii="Arial" w:hAnsi="Arial" w:cs="Arial"/>
      <w:color w:val="000000"/>
      <w:sz w:val="20"/>
      <w:szCs w:val="20"/>
    </w:rPr>
  </w:style>
  <w:style w:type="paragraph" w:styleId="Textodenotaderodap">
    <w:name w:val="footnote text"/>
    <w:basedOn w:val="Normal"/>
    <w:rPr>
      <w:sz w:val="20"/>
      <w:szCs w:val="20"/>
    </w:rPr>
  </w:style>
  <w:style w:type="paragraph" w:customStyle="1" w:styleId="TEXTO">
    <w:name w:val="TEXTO"/>
    <w:basedOn w:val="Normal"/>
    <w:pPr>
      <w:tabs>
        <w:tab w:val="left" w:pos="993"/>
      </w:tabs>
      <w:ind w:left="993"/>
      <w:jc w:val="both"/>
    </w:pPr>
    <w:rPr>
      <w:rFonts w:ascii="CG Times" w:hAnsi="CG Times" w:cs="CG Times"/>
      <w:kern w:val="1"/>
      <w:szCs w:val="20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Sumrio3">
    <w:name w:val="toc 3"/>
    <w:basedOn w:val="Normal"/>
    <w:next w:val="Normal"/>
    <w:uiPriority w:val="39"/>
    <w:pPr>
      <w:numPr>
        <w:numId w:val="2"/>
      </w:numPr>
      <w:ind w:left="2402" w:hanging="417"/>
      <w:jc w:val="both"/>
    </w:pPr>
    <w:rPr>
      <w:rFonts w:ascii="Tahoma" w:hAnsi="Tahoma" w:cs="Tahoma"/>
      <w:sz w:val="28"/>
      <w:szCs w:val="20"/>
    </w:rPr>
  </w:style>
  <w:style w:type="paragraph" w:customStyle="1" w:styleId="BodyText31">
    <w:name w:val="Body Text 31"/>
    <w:basedOn w:val="Normal"/>
    <w:pPr>
      <w:spacing w:line="270" w:lineRule="exact"/>
      <w:jc w:val="both"/>
    </w:pPr>
    <w:rPr>
      <w:rFonts w:ascii="Arial" w:hAnsi="Arial" w:cs="Arial"/>
      <w:szCs w:val="20"/>
    </w:rPr>
  </w:style>
  <w:style w:type="paragraph" w:customStyle="1" w:styleId="Recuodecorpodetexto21">
    <w:name w:val="Recuo de corpo de texto 21"/>
    <w:basedOn w:val="Normal"/>
    <w:pPr>
      <w:tabs>
        <w:tab w:val="left" w:pos="-5529"/>
      </w:tabs>
      <w:ind w:firstLine="1440"/>
      <w:jc w:val="both"/>
    </w:pPr>
  </w:style>
  <w:style w:type="paragraph" w:styleId="Recuodecorpodetexto">
    <w:name w:val="Body Text Indent"/>
    <w:basedOn w:val="Normal"/>
    <w:pPr>
      <w:ind w:left="1506" w:hanging="426"/>
      <w:jc w:val="both"/>
    </w:pPr>
  </w:style>
  <w:style w:type="paragraph" w:customStyle="1" w:styleId="Corpodetexto21">
    <w:name w:val="Corpo de texto 21"/>
    <w:basedOn w:val="Normal"/>
    <w:pPr>
      <w:tabs>
        <w:tab w:val="left" w:pos="881"/>
      </w:tabs>
      <w:jc w:val="both"/>
    </w:pPr>
    <w:rPr>
      <w:b/>
      <w:szCs w:val="20"/>
    </w:rPr>
  </w:style>
  <w:style w:type="paragraph" w:customStyle="1" w:styleId="xl24">
    <w:name w:val="xl24"/>
    <w:basedOn w:val="Normal"/>
    <w:pPr>
      <w:pBdr>
        <w:left w:val="double" w:sz="1" w:space="0" w:color="000000"/>
      </w:pBdr>
      <w:spacing w:before="280" w:after="280"/>
      <w:jc w:val="center"/>
    </w:pPr>
    <w:rPr>
      <w:rFonts w:ascii="Arial" w:eastAsia="Arial Unicode MS" w:hAnsi="Arial" w:cs="Arial"/>
    </w:rPr>
  </w:style>
  <w:style w:type="paragraph" w:styleId="PargrafodaLista">
    <w:name w:val="List Paragraph"/>
    <w:basedOn w:val="Normal"/>
    <w:qFormat/>
    <w:pPr>
      <w:ind w:left="720"/>
    </w:pPr>
  </w:style>
  <w:style w:type="paragraph" w:customStyle="1" w:styleId="BodyText21">
    <w:name w:val="Body Text 21"/>
    <w:basedOn w:val="Normal"/>
    <w:pPr>
      <w:ind w:left="1276" w:hanging="1276"/>
      <w:jc w:val="both"/>
    </w:pPr>
    <w:rPr>
      <w:sz w:val="20"/>
      <w:szCs w:val="20"/>
    </w:rPr>
  </w:style>
  <w:style w:type="paragraph" w:customStyle="1" w:styleId="Recuodecorpodetexto31">
    <w:name w:val="Recuo de corpo de texto 31"/>
    <w:basedOn w:val="Normal"/>
    <w:pPr>
      <w:spacing w:after="120"/>
      <w:ind w:left="283"/>
    </w:pPr>
    <w:rPr>
      <w:sz w:val="16"/>
      <w:szCs w:val="16"/>
    </w:rPr>
  </w:style>
  <w:style w:type="paragraph" w:customStyle="1" w:styleId="Nvel2">
    <w:name w:val="Nível 2"/>
    <w:basedOn w:val="Normal"/>
    <w:next w:val="Normal"/>
    <w:pPr>
      <w:spacing w:after="120"/>
      <w:jc w:val="both"/>
    </w:pPr>
    <w:rPr>
      <w:rFonts w:ascii="Arial" w:hAnsi="Arial" w:cs="Arial"/>
      <w:b/>
      <w:szCs w:val="20"/>
    </w:rPr>
  </w:style>
  <w:style w:type="paragraph" w:customStyle="1" w:styleId="Assinaturas">
    <w:name w:val="Assinaturas"/>
    <w:basedOn w:val="Normal"/>
    <w:pPr>
      <w:jc w:val="center"/>
    </w:pPr>
    <w:rPr>
      <w:rFonts w:ascii="Arial" w:hAnsi="Arial" w:cs="Arial"/>
      <w:szCs w:val="2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customStyle="1" w:styleId="WW-BodyText21">
    <w:name w:val="WW-Body Text 21"/>
    <w:basedOn w:val="Normal"/>
    <w:pPr>
      <w:jc w:val="both"/>
    </w:pPr>
    <w:rPr>
      <w:szCs w:val="20"/>
    </w:rPr>
  </w:style>
  <w:style w:type="paragraph" w:styleId="Pr-formatao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WW-Padro">
    <w:name w:val="WW-Padrão"/>
    <w:pPr>
      <w:widowControl w:val="0"/>
      <w:suppressAutoHyphens/>
    </w:pPr>
    <w:rPr>
      <w:rFonts w:eastAsia="Arial"/>
      <w:sz w:val="24"/>
      <w:lang w:eastAsia="ar-SA"/>
    </w:rPr>
  </w:style>
  <w:style w:type="paragraph" w:customStyle="1" w:styleId="Header1">
    <w:name w:val="Header1"/>
    <w:basedOn w:val="Normal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9C554A"/>
    <w:pPr>
      <w:suppressAutoHyphens w:val="0"/>
      <w:spacing w:before="100" w:beforeAutospacing="1" w:after="100" w:afterAutospacing="1"/>
    </w:pPr>
    <w:rPr>
      <w:lang w:eastAsia="pt-BR"/>
    </w:rPr>
  </w:style>
  <w:style w:type="character" w:styleId="Refdecomentrio">
    <w:name w:val="annotation reference"/>
    <w:rsid w:val="00AE1C95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AE1C95"/>
    <w:rPr>
      <w:sz w:val="20"/>
      <w:szCs w:val="20"/>
    </w:rPr>
  </w:style>
  <w:style w:type="character" w:customStyle="1" w:styleId="TextodecomentrioChar">
    <w:name w:val="Texto de comentário Char"/>
    <w:link w:val="Textodecomentrio"/>
    <w:rsid w:val="00AE1C95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AE1C95"/>
    <w:rPr>
      <w:b/>
      <w:bCs/>
    </w:rPr>
  </w:style>
  <w:style w:type="character" w:customStyle="1" w:styleId="AssuntodocomentrioChar">
    <w:name w:val="Assunto do comentário Char"/>
    <w:link w:val="Assuntodocomentrio"/>
    <w:rsid w:val="00AE1C95"/>
    <w:rPr>
      <w:b/>
      <w:bCs/>
      <w:lang w:eastAsia="ar-SA"/>
    </w:rPr>
  </w:style>
  <w:style w:type="paragraph" w:styleId="Textodebalo">
    <w:name w:val="Balloon Text"/>
    <w:basedOn w:val="Normal"/>
    <w:link w:val="TextodebaloChar"/>
    <w:rsid w:val="00AE1C95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AE1C95"/>
    <w:rPr>
      <w:rFonts w:ascii="Tahoma" w:hAnsi="Tahoma" w:cs="Tahoma"/>
      <w:sz w:val="16"/>
      <w:szCs w:val="16"/>
      <w:lang w:eastAsia="ar-SA"/>
    </w:rPr>
  </w:style>
  <w:style w:type="character" w:customStyle="1" w:styleId="CorpodetextoChar1">
    <w:name w:val="Corpo de texto Char1"/>
    <w:link w:val="Corpodetexto"/>
    <w:rsid w:val="003A2991"/>
    <w:rPr>
      <w:sz w:val="24"/>
      <w:lang w:eastAsia="ar-SA"/>
    </w:rPr>
  </w:style>
  <w:style w:type="character" w:customStyle="1" w:styleId="CabealhoChar">
    <w:name w:val="Cabeçalho Char"/>
    <w:aliases w:val="encabezado Char,Cabeçalho1 Char,Heading 1a Char,Cabeçalho 1 Char,Cabeçalho superior Char,hd Char,he Char,Cabeçalho superior Char Char Char Char Char,Cabeçalho superior Char Char Char Char1,Char Char,foote Char, Char2 Char"/>
    <w:link w:val="Cabealho"/>
    <w:rsid w:val="003A2991"/>
    <w:rPr>
      <w:rFonts w:ascii="Arial" w:hAnsi="Arial" w:cs="Arial"/>
      <w:sz w:val="24"/>
      <w:lang w:eastAsia="ar-SA"/>
    </w:rPr>
  </w:style>
  <w:style w:type="paragraph" w:customStyle="1" w:styleId="TextosemFormatao1">
    <w:name w:val="Texto sem Formatação1"/>
    <w:basedOn w:val="Normal"/>
    <w:rsid w:val="00121AEA"/>
    <w:rPr>
      <w:rFonts w:ascii="Courier New" w:hAnsi="Courier New" w:cs="Courier New"/>
      <w:sz w:val="20"/>
      <w:szCs w:val="20"/>
    </w:rPr>
  </w:style>
  <w:style w:type="paragraph" w:customStyle="1" w:styleId="western">
    <w:name w:val="western"/>
    <w:basedOn w:val="Normal"/>
    <w:rsid w:val="00121AEA"/>
    <w:pPr>
      <w:suppressAutoHyphens w:val="0"/>
      <w:spacing w:before="100" w:beforeAutospacing="1" w:after="119"/>
    </w:pPr>
    <w:rPr>
      <w:lang w:eastAsia="pt-BR"/>
    </w:rPr>
  </w:style>
  <w:style w:type="paragraph" w:customStyle="1" w:styleId="TextosemFormatao2">
    <w:name w:val="Texto sem Formatação2"/>
    <w:basedOn w:val="Normal"/>
    <w:rsid w:val="00043057"/>
    <w:rPr>
      <w:rFonts w:ascii="Courier New" w:hAnsi="Courier New" w:cs="Courier New"/>
      <w:sz w:val="20"/>
      <w:szCs w:val="20"/>
    </w:rPr>
  </w:style>
  <w:style w:type="table" w:styleId="Tabelacomgrade">
    <w:name w:val="Table Grid"/>
    <w:basedOn w:val="Tabelanormal"/>
    <w:rsid w:val="0060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C7B92"/>
    <w:pPr>
      <w:autoSpaceDE w:val="0"/>
      <w:autoSpaceDN w:val="0"/>
      <w:adjustRightInd w:val="0"/>
    </w:pPr>
    <w:rPr>
      <w:rFonts w:ascii="Trebuchet MS" w:eastAsia="Calibri" w:hAnsi="Trebuchet MS" w:cs="Trebuchet MS"/>
      <w:color w:val="000000"/>
      <w:sz w:val="24"/>
      <w:szCs w:val="24"/>
      <w:lang w:eastAsia="en-US"/>
    </w:rPr>
  </w:style>
  <w:style w:type="paragraph" w:styleId="Legenda">
    <w:name w:val="caption"/>
    <w:basedOn w:val="Normal"/>
    <w:qFormat/>
    <w:rsid w:val="00690AFD"/>
    <w:pPr>
      <w:keepNext/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WW-Normal">
    <w:name w:val="WW-Normal"/>
    <w:rsid w:val="00690AFD"/>
    <w:pPr>
      <w:widowControl w:val="0"/>
      <w:suppressAutoHyphens/>
      <w:autoSpaceDE w:val="0"/>
    </w:pPr>
    <w:rPr>
      <w:rFonts w:ascii="Times New Roman PS" w:eastAsia="Arial" w:hAnsi="Times New Roman PS" w:cs="Times New Roman PS"/>
      <w:color w:val="000000"/>
      <w:sz w:val="24"/>
      <w:szCs w:val="24"/>
      <w:lang w:eastAsia="zh-CN"/>
    </w:rPr>
  </w:style>
  <w:style w:type="paragraph" w:styleId="Primeirorecuodecorpodetexto">
    <w:name w:val="Body Text First Indent"/>
    <w:basedOn w:val="Corpodetexto"/>
    <w:link w:val="PrimeirorecuodecorpodetextoChar"/>
    <w:rsid w:val="00690AFD"/>
    <w:pPr>
      <w:spacing w:after="120"/>
      <w:ind w:firstLine="210"/>
      <w:jc w:val="left"/>
    </w:pPr>
    <w:rPr>
      <w:rFonts w:ascii="Arial" w:hAnsi="Arial"/>
      <w:sz w:val="32"/>
      <w:lang w:eastAsia="zh-CN"/>
    </w:rPr>
  </w:style>
  <w:style w:type="character" w:customStyle="1" w:styleId="PrimeirorecuodecorpodetextoChar">
    <w:name w:val="Primeiro recuo de corpo de texto Char"/>
    <w:link w:val="Primeirorecuodecorpodetexto"/>
    <w:rsid w:val="00690AFD"/>
    <w:rPr>
      <w:rFonts w:ascii="Arial" w:hAnsi="Arial"/>
      <w:sz w:val="32"/>
      <w:lang w:eastAsia="zh-CN"/>
    </w:rPr>
  </w:style>
  <w:style w:type="paragraph" w:styleId="CabealhodoSumrio">
    <w:name w:val="TOC Heading"/>
    <w:basedOn w:val="Ttulo1"/>
    <w:next w:val="Normal"/>
    <w:uiPriority w:val="39"/>
    <w:unhideWhenUsed/>
    <w:qFormat/>
    <w:rsid w:val="009174C0"/>
    <w:pPr>
      <w:keepLines/>
      <w:numPr>
        <w:numId w:val="0"/>
      </w:numPr>
      <w:tabs>
        <w:tab w:val="clear" w:pos="0"/>
      </w:tabs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Sumrio1">
    <w:name w:val="toc 1"/>
    <w:basedOn w:val="Normal"/>
    <w:next w:val="Normal"/>
    <w:link w:val="Sumrio1Char"/>
    <w:autoRedefine/>
    <w:uiPriority w:val="39"/>
    <w:unhideWhenUsed/>
    <w:rsid w:val="009174C0"/>
    <w:pPr>
      <w:tabs>
        <w:tab w:val="right" w:leader="dot" w:pos="9910"/>
      </w:tabs>
      <w:spacing w:after="100"/>
      <w:ind w:left="284" w:hanging="284"/>
    </w:pPr>
  </w:style>
  <w:style w:type="character" w:styleId="TtulodoLivro">
    <w:name w:val="Book Title"/>
    <w:basedOn w:val="Fontepargpadro"/>
    <w:uiPriority w:val="33"/>
    <w:qFormat/>
    <w:rsid w:val="009174C0"/>
    <w:rPr>
      <w:b/>
      <w:bCs/>
      <w:i/>
      <w:iCs/>
      <w:spacing w:val="5"/>
    </w:rPr>
  </w:style>
  <w:style w:type="paragraph" w:customStyle="1" w:styleId="Indice">
    <w:name w:val="Indice"/>
    <w:basedOn w:val="Sumrio1"/>
    <w:link w:val="IndiceChar"/>
    <w:qFormat/>
    <w:rsid w:val="009174C0"/>
    <w:rPr>
      <w:b/>
      <w:noProof/>
    </w:rPr>
  </w:style>
  <w:style w:type="paragraph" w:customStyle="1" w:styleId="Textonumerado">
    <w:name w:val="Texto numerado"/>
    <w:basedOn w:val="Ttulo2"/>
    <w:link w:val="TextonumeradoChar"/>
    <w:qFormat/>
    <w:rsid w:val="008A658E"/>
    <w:pPr>
      <w:tabs>
        <w:tab w:val="num" w:pos="576"/>
      </w:tabs>
      <w:ind w:left="576"/>
    </w:pPr>
    <w:rPr>
      <w:b/>
    </w:rPr>
  </w:style>
  <w:style w:type="character" w:customStyle="1" w:styleId="Sumrio1Char">
    <w:name w:val="Sumário 1 Char"/>
    <w:basedOn w:val="Fontepargpadro"/>
    <w:link w:val="Sumrio1"/>
    <w:uiPriority w:val="39"/>
    <w:rsid w:val="009174C0"/>
    <w:rPr>
      <w:sz w:val="24"/>
      <w:szCs w:val="24"/>
      <w:lang w:eastAsia="ar-SA"/>
    </w:rPr>
  </w:style>
  <w:style w:type="character" w:customStyle="1" w:styleId="IndiceChar">
    <w:name w:val="Indice Char"/>
    <w:basedOn w:val="Sumrio1Char"/>
    <w:link w:val="Indice"/>
    <w:rsid w:val="009174C0"/>
    <w:rPr>
      <w:b/>
      <w:noProof/>
      <w:sz w:val="24"/>
      <w:szCs w:val="24"/>
      <w:lang w:eastAsia="ar-SA"/>
    </w:rPr>
  </w:style>
  <w:style w:type="paragraph" w:customStyle="1" w:styleId="Numerada1">
    <w:name w:val="Numerada1"/>
    <w:basedOn w:val="Normal"/>
    <w:rsid w:val="003B30C8"/>
    <w:pPr>
      <w:keepNext/>
      <w:widowControl w:val="0"/>
      <w:tabs>
        <w:tab w:val="num" w:pos="1209"/>
      </w:tabs>
      <w:spacing w:before="120" w:after="60" w:line="360" w:lineRule="atLeast"/>
      <w:ind w:left="1474" w:hanging="459"/>
      <w:jc w:val="both"/>
      <w:textAlignment w:val="baseline"/>
    </w:pPr>
    <w:rPr>
      <w:szCs w:val="20"/>
      <w:lang w:eastAsia="zh-CN"/>
    </w:rPr>
  </w:style>
  <w:style w:type="character" w:customStyle="1" w:styleId="Ttulo2Char">
    <w:name w:val="Título 2 Char"/>
    <w:basedOn w:val="Fontepargpadro"/>
    <w:link w:val="Ttulo2"/>
    <w:rsid w:val="00F92CD7"/>
    <w:rPr>
      <w:bCs/>
      <w:sz w:val="24"/>
      <w:szCs w:val="24"/>
      <w:lang w:eastAsia="ar-SA"/>
    </w:rPr>
  </w:style>
  <w:style w:type="character" w:customStyle="1" w:styleId="TextonumeradoChar">
    <w:name w:val="Texto numerado Char"/>
    <w:basedOn w:val="Ttulo2Char"/>
    <w:link w:val="Textonumerado"/>
    <w:rsid w:val="008A658E"/>
    <w:rPr>
      <w:b/>
      <w:bCs/>
      <w:sz w:val="24"/>
      <w:szCs w:val="24"/>
      <w:lang w:eastAsia="ar-SA"/>
    </w:rPr>
  </w:style>
  <w:style w:type="paragraph" w:styleId="Sumrio2">
    <w:name w:val="toc 2"/>
    <w:basedOn w:val="Normal"/>
    <w:next w:val="Normal"/>
    <w:autoRedefine/>
    <w:uiPriority w:val="39"/>
    <w:unhideWhenUsed/>
    <w:rsid w:val="00E524BB"/>
    <w:pPr>
      <w:spacing w:after="100"/>
      <w:ind w:left="240"/>
    </w:pPr>
  </w:style>
  <w:style w:type="paragraph" w:styleId="Sumrio4">
    <w:name w:val="toc 4"/>
    <w:basedOn w:val="Normal"/>
    <w:next w:val="Normal"/>
    <w:autoRedefine/>
    <w:uiPriority w:val="39"/>
    <w:unhideWhenUsed/>
    <w:rsid w:val="00E524BB"/>
    <w:pPr>
      <w:suppressAutoHyphens w:val="0"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E524BB"/>
    <w:pPr>
      <w:suppressAutoHyphens w:val="0"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E524BB"/>
    <w:pPr>
      <w:suppressAutoHyphens w:val="0"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E524BB"/>
    <w:pPr>
      <w:suppressAutoHyphens w:val="0"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E524BB"/>
    <w:pPr>
      <w:suppressAutoHyphens w:val="0"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E524BB"/>
    <w:pPr>
      <w:suppressAutoHyphens w:val="0"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D45970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F92CD7"/>
    <w:pPr>
      <w:keepNext/>
      <w:numPr>
        <w:numId w:val="1"/>
      </w:numPr>
      <w:tabs>
        <w:tab w:val="left" w:pos="0"/>
      </w:tabs>
      <w:spacing w:before="240" w:after="120"/>
      <w:ind w:left="425" w:hanging="425"/>
      <w:outlineLvl w:val="0"/>
    </w:pPr>
    <w:rPr>
      <w:b/>
      <w:bCs/>
      <w:szCs w:val="20"/>
    </w:rPr>
  </w:style>
  <w:style w:type="paragraph" w:styleId="Ttulo2">
    <w:name w:val="heading 2"/>
    <w:basedOn w:val="Normal"/>
    <w:next w:val="Normal"/>
    <w:link w:val="Ttulo2Char"/>
    <w:qFormat/>
    <w:rsid w:val="00F92CD7"/>
    <w:pPr>
      <w:keepNext/>
      <w:numPr>
        <w:ilvl w:val="1"/>
        <w:numId w:val="1"/>
      </w:numPr>
      <w:tabs>
        <w:tab w:val="left" w:pos="142"/>
      </w:tabs>
      <w:spacing w:after="240"/>
      <w:jc w:val="both"/>
      <w:outlineLvl w:val="1"/>
    </w:pPr>
    <w:rPr>
      <w:bCs/>
    </w:rPr>
  </w:style>
  <w:style w:type="paragraph" w:styleId="Ttulo3">
    <w:name w:val="heading 3"/>
    <w:basedOn w:val="Normal"/>
    <w:next w:val="Normal"/>
    <w:qFormat/>
    <w:rsid w:val="007213D3"/>
    <w:pPr>
      <w:keepNext/>
      <w:numPr>
        <w:ilvl w:val="2"/>
        <w:numId w:val="1"/>
      </w:numPr>
      <w:tabs>
        <w:tab w:val="left" w:pos="0"/>
      </w:tabs>
      <w:spacing w:after="240"/>
      <w:jc w:val="both"/>
      <w:outlineLvl w:val="2"/>
    </w:pPr>
    <w:rPr>
      <w:bCs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  <w:bCs/>
      <w:color w:val="00000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b/>
      <w:sz w:val="20"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tabs>
        <w:tab w:val="left" w:pos="0"/>
      </w:tabs>
      <w:jc w:val="center"/>
      <w:outlineLvl w:val="5"/>
    </w:pPr>
    <w:rPr>
      <w:b/>
      <w:szCs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tabs>
        <w:tab w:val="left" w:pos="0"/>
      </w:tabs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spacing w:after="60"/>
      <w:outlineLvl w:val="7"/>
    </w:pPr>
    <w:rPr>
      <w:b/>
      <w:szCs w:val="20"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tabs>
        <w:tab w:val="left" w:pos="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2">
    <w:name w:val="WW8Num3z2"/>
    <w:rPr>
      <w:b w:val="0"/>
      <w:color w:val="auto"/>
    </w:rPr>
  </w:style>
  <w:style w:type="character" w:customStyle="1" w:styleId="WW8Num5z1">
    <w:name w:val="WW8Num5z1"/>
    <w:rPr>
      <w:rFonts w:ascii="Arial" w:hAnsi="Arial" w:cs="Arial"/>
      <w:b/>
      <w:color w:val="000000"/>
      <w:sz w:val="22"/>
      <w:u w:val="single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b w:val="0"/>
    </w:rPr>
  </w:style>
  <w:style w:type="character" w:customStyle="1" w:styleId="WW8Num3z0">
    <w:name w:val="WW8Num3z0"/>
    <w:rPr>
      <w:b w:val="0"/>
      <w:i w:val="0"/>
    </w:rPr>
  </w:style>
  <w:style w:type="character" w:customStyle="1" w:styleId="WW8Num4z0">
    <w:name w:val="WW8Num4z0"/>
    <w:rPr>
      <w:color w:val="000000"/>
    </w:rPr>
  </w:style>
  <w:style w:type="character" w:customStyle="1" w:styleId="WW8Num5z2">
    <w:name w:val="WW8Num5z2"/>
    <w:rPr>
      <w:rFonts w:ascii="Times New Roman" w:eastAsia="Times New Roman" w:hAnsi="Times New Roman" w:cs="Times New Roman"/>
    </w:rPr>
  </w:style>
  <w:style w:type="character" w:customStyle="1" w:styleId="WW8Num8z2">
    <w:name w:val="WW8Num8z2"/>
    <w:rPr>
      <w:b w:val="0"/>
    </w:rPr>
  </w:style>
  <w:style w:type="character" w:customStyle="1" w:styleId="WW8Num9z0">
    <w:name w:val="WW8Num9z0"/>
    <w:rPr>
      <w:b/>
      <w:color w:val="000000"/>
    </w:rPr>
  </w:style>
  <w:style w:type="character" w:customStyle="1" w:styleId="WW8Num9z1">
    <w:name w:val="WW8Num9z1"/>
    <w:rPr>
      <w:b w:val="0"/>
      <w:color w:val="000000"/>
    </w:rPr>
  </w:style>
  <w:style w:type="character" w:customStyle="1" w:styleId="WW8Num9z3">
    <w:name w:val="WW8Num9z3"/>
    <w:rPr>
      <w:color w:val="000000"/>
    </w:rPr>
  </w:style>
  <w:style w:type="character" w:customStyle="1" w:styleId="WW8Num13z0">
    <w:name w:val="WW8Num13z0"/>
    <w:rPr>
      <w:rFonts w:ascii="Times New Roman" w:hAnsi="Times New Roman" w:cs="Times New Roman"/>
      <w:color w:val="000000"/>
    </w:rPr>
  </w:style>
  <w:style w:type="character" w:customStyle="1" w:styleId="WW8Num15z0">
    <w:name w:val="WW8Num15z0"/>
    <w:rPr>
      <w:rFonts w:ascii="Times New Roman" w:hAnsi="Times New Roman" w:cs="Times New Roman"/>
      <w:color w:val="000000"/>
    </w:rPr>
  </w:style>
  <w:style w:type="character" w:customStyle="1" w:styleId="WW-Fontepargpadro1">
    <w:name w:val="WW-Fonte parág. padrão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"/>
  </w:style>
  <w:style w:type="character" w:customStyle="1" w:styleId="Char">
    <w:name w:val="Char"/>
    <w:rPr>
      <w:sz w:val="24"/>
      <w:szCs w:val="24"/>
    </w:rPr>
  </w:style>
  <w:style w:type="character" w:customStyle="1" w:styleId="WW-Char">
    <w:name w:val="WW- Char"/>
    <w:rPr>
      <w:b/>
      <w:bCs/>
      <w:color w:val="000000"/>
      <w:sz w:val="24"/>
      <w:szCs w:val="24"/>
    </w:rPr>
  </w:style>
  <w:style w:type="character" w:customStyle="1" w:styleId="WW-Char1">
    <w:name w:val="WW- Char1"/>
    <w:rPr>
      <w:b/>
      <w:sz w:val="24"/>
    </w:rPr>
  </w:style>
  <w:style w:type="character" w:customStyle="1" w:styleId="WW-Char12">
    <w:name w:val="WW- Char12"/>
    <w:rPr>
      <w:b/>
      <w:sz w:val="24"/>
    </w:rPr>
  </w:style>
  <w:style w:type="character" w:customStyle="1" w:styleId="WW-Char123">
    <w:name w:val="WW- Char123"/>
    <w:rPr>
      <w:sz w:val="24"/>
    </w:rPr>
  </w:style>
  <w:style w:type="character" w:customStyle="1" w:styleId="WW-Char1234">
    <w:name w:val="WW- Char1234"/>
    <w:rPr>
      <w:sz w:val="24"/>
      <w:szCs w:val="24"/>
    </w:rPr>
  </w:style>
  <w:style w:type="character" w:customStyle="1" w:styleId="mensagem2">
    <w:name w:val="mensagem2"/>
    <w:basedOn w:val="WW-Fontepargpadro1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-Caracteresdenotadefim">
    <w:name w:val="WW-Caracteres de nota de fim"/>
  </w:style>
  <w:style w:type="character" w:customStyle="1" w:styleId="tex3">
    <w:name w:val="tex3"/>
    <w:basedOn w:val="Fontepargpadro1"/>
  </w:style>
  <w:style w:type="character" w:styleId="Forte">
    <w:name w:val="Strong"/>
    <w:uiPriority w:val="22"/>
    <w:qFormat/>
    <w:rPr>
      <w:b/>
    </w:rPr>
  </w:style>
  <w:style w:type="character" w:customStyle="1" w:styleId="CorpodetextoChar">
    <w:name w:val="Corpo de texto Char"/>
    <w:uiPriority w:val="99"/>
    <w:rPr>
      <w:sz w:val="24"/>
    </w:rPr>
  </w:style>
  <w:style w:type="character" w:customStyle="1" w:styleId="WW-Absatz-Standardschriftart11111111111111111111111111">
    <w:name w:val="WW-Absatz-Standardschriftart1111111111111111111111111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link w:val="CorpodetextoChar1"/>
    <w:uiPriority w:val="99"/>
    <w:pPr>
      <w:jc w:val="both"/>
    </w:pPr>
    <w:rPr>
      <w:szCs w:val="20"/>
    </w:rPr>
  </w:style>
  <w:style w:type="paragraph" w:styleId="Lista">
    <w:name w:val="List"/>
    <w:basedOn w:val="Corpodetexto"/>
    <w:rPr>
      <w:rFonts w:cs="Mangal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Ttulo">
    <w:name w:val="Title"/>
    <w:basedOn w:val="Normal"/>
    <w:next w:val="Corpodetexto"/>
    <w:qFormat/>
    <w:pPr>
      <w:widowControl w:val="0"/>
      <w:tabs>
        <w:tab w:val="center" w:pos="4592"/>
      </w:tabs>
      <w:autoSpaceDE w:val="0"/>
      <w:jc w:val="center"/>
    </w:pPr>
    <w:rPr>
      <w:color w:val="000000"/>
      <w:sz w:val="28"/>
      <w:szCs w:val="28"/>
    </w:rPr>
  </w:style>
  <w:style w:type="paragraph" w:styleId="Subttulo">
    <w:name w:val="Subtitle"/>
    <w:basedOn w:val="Ttulo10"/>
    <w:next w:val="Corpodetexto"/>
    <w:qFormat/>
    <w:pPr>
      <w:jc w:val="center"/>
    </w:pPr>
    <w:rPr>
      <w:i/>
      <w:iCs/>
    </w:rPr>
  </w:style>
  <w:style w:type="paragraph" w:styleId="Cabealho">
    <w:name w:val="header"/>
    <w:aliases w:val="encabezado,Cabeçalho1,Heading 1a,Cabeçalho 1,Cabeçalho superior,hd,he,Cabeçalho superior Char Char Char Char,Cabeçalho superior Char Char Char,Char,foote, Char2"/>
    <w:basedOn w:val="Normal"/>
    <w:link w:val="CabealhoChar"/>
    <w:pPr>
      <w:tabs>
        <w:tab w:val="center" w:pos="4419"/>
        <w:tab w:val="right" w:pos="8838"/>
      </w:tabs>
    </w:pPr>
    <w:rPr>
      <w:rFonts w:ascii="Arial" w:hAnsi="Arial"/>
      <w:szCs w:val="20"/>
    </w:rPr>
  </w:style>
  <w:style w:type="paragraph" w:customStyle="1" w:styleId="Textoembloco1">
    <w:name w:val="Texto em bloco1"/>
    <w:basedOn w:val="Normal"/>
    <w:pPr>
      <w:ind w:left="284" w:right="174"/>
      <w:jc w:val="both"/>
    </w:pPr>
    <w:rPr>
      <w:rFonts w:ascii="Tahoma" w:hAnsi="Tahoma" w:cs="Tahoma"/>
      <w:sz w:val="22"/>
      <w:szCs w:val="20"/>
    </w:rPr>
  </w:style>
  <w:style w:type="paragraph" w:customStyle="1" w:styleId="Corpodetexto31">
    <w:name w:val="Corpo de texto 31"/>
    <w:basedOn w:val="Normal"/>
    <w:pPr>
      <w:tabs>
        <w:tab w:val="left" w:pos="1134"/>
      </w:tabs>
      <w:jc w:val="center"/>
    </w:pPr>
    <w:rPr>
      <w:rFonts w:ascii="Arial" w:hAnsi="Arial" w:cs="Arial"/>
      <w:color w:val="000000"/>
      <w:sz w:val="20"/>
      <w:szCs w:val="20"/>
    </w:rPr>
  </w:style>
  <w:style w:type="paragraph" w:styleId="Textodenotaderodap">
    <w:name w:val="footnote text"/>
    <w:basedOn w:val="Normal"/>
    <w:rPr>
      <w:sz w:val="20"/>
      <w:szCs w:val="20"/>
    </w:rPr>
  </w:style>
  <w:style w:type="paragraph" w:customStyle="1" w:styleId="TEXTO">
    <w:name w:val="TEXTO"/>
    <w:basedOn w:val="Normal"/>
    <w:pPr>
      <w:tabs>
        <w:tab w:val="left" w:pos="993"/>
      </w:tabs>
      <w:ind w:left="993"/>
      <w:jc w:val="both"/>
    </w:pPr>
    <w:rPr>
      <w:rFonts w:ascii="CG Times" w:hAnsi="CG Times" w:cs="CG Times"/>
      <w:kern w:val="1"/>
      <w:szCs w:val="20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Sumrio3">
    <w:name w:val="toc 3"/>
    <w:basedOn w:val="Normal"/>
    <w:next w:val="Normal"/>
    <w:uiPriority w:val="39"/>
    <w:pPr>
      <w:numPr>
        <w:numId w:val="2"/>
      </w:numPr>
      <w:ind w:left="2402" w:hanging="417"/>
      <w:jc w:val="both"/>
    </w:pPr>
    <w:rPr>
      <w:rFonts w:ascii="Tahoma" w:hAnsi="Tahoma" w:cs="Tahoma"/>
      <w:sz w:val="28"/>
      <w:szCs w:val="20"/>
    </w:rPr>
  </w:style>
  <w:style w:type="paragraph" w:customStyle="1" w:styleId="BodyText31">
    <w:name w:val="Body Text 31"/>
    <w:basedOn w:val="Normal"/>
    <w:pPr>
      <w:spacing w:line="270" w:lineRule="exact"/>
      <w:jc w:val="both"/>
    </w:pPr>
    <w:rPr>
      <w:rFonts w:ascii="Arial" w:hAnsi="Arial" w:cs="Arial"/>
      <w:szCs w:val="20"/>
    </w:rPr>
  </w:style>
  <w:style w:type="paragraph" w:customStyle="1" w:styleId="Recuodecorpodetexto21">
    <w:name w:val="Recuo de corpo de texto 21"/>
    <w:basedOn w:val="Normal"/>
    <w:pPr>
      <w:tabs>
        <w:tab w:val="left" w:pos="-5529"/>
      </w:tabs>
      <w:ind w:firstLine="1440"/>
      <w:jc w:val="both"/>
    </w:pPr>
  </w:style>
  <w:style w:type="paragraph" w:styleId="Recuodecorpodetexto">
    <w:name w:val="Body Text Indent"/>
    <w:basedOn w:val="Normal"/>
    <w:pPr>
      <w:ind w:left="1506" w:hanging="426"/>
      <w:jc w:val="both"/>
    </w:pPr>
  </w:style>
  <w:style w:type="paragraph" w:customStyle="1" w:styleId="Corpodetexto21">
    <w:name w:val="Corpo de texto 21"/>
    <w:basedOn w:val="Normal"/>
    <w:pPr>
      <w:tabs>
        <w:tab w:val="left" w:pos="881"/>
      </w:tabs>
      <w:jc w:val="both"/>
    </w:pPr>
    <w:rPr>
      <w:b/>
      <w:szCs w:val="20"/>
    </w:rPr>
  </w:style>
  <w:style w:type="paragraph" w:customStyle="1" w:styleId="xl24">
    <w:name w:val="xl24"/>
    <w:basedOn w:val="Normal"/>
    <w:pPr>
      <w:pBdr>
        <w:left w:val="double" w:sz="1" w:space="0" w:color="000000"/>
      </w:pBdr>
      <w:spacing w:before="280" w:after="280"/>
      <w:jc w:val="center"/>
    </w:pPr>
    <w:rPr>
      <w:rFonts w:ascii="Arial" w:eastAsia="Arial Unicode MS" w:hAnsi="Arial" w:cs="Arial"/>
    </w:rPr>
  </w:style>
  <w:style w:type="paragraph" w:styleId="PargrafodaLista">
    <w:name w:val="List Paragraph"/>
    <w:basedOn w:val="Normal"/>
    <w:qFormat/>
    <w:pPr>
      <w:ind w:left="720"/>
    </w:pPr>
  </w:style>
  <w:style w:type="paragraph" w:customStyle="1" w:styleId="BodyText21">
    <w:name w:val="Body Text 21"/>
    <w:basedOn w:val="Normal"/>
    <w:pPr>
      <w:ind w:left="1276" w:hanging="1276"/>
      <w:jc w:val="both"/>
    </w:pPr>
    <w:rPr>
      <w:sz w:val="20"/>
      <w:szCs w:val="20"/>
    </w:rPr>
  </w:style>
  <w:style w:type="paragraph" w:customStyle="1" w:styleId="Recuodecorpodetexto31">
    <w:name w:val="Recuo de corpo de texto 31"/>
    <w:basedOn w:val="Normal"/>
    <w:pPr>
      <w:spacing w:after="120"/>
      <w:ind w:left="283"/>
    </w:pPr>
    <w:rPr>
      <w:sz w:val="16"/>
      <w:szCs w:val="16"/>
    </w:rPr>
  </w:style>
  <w:style w:type="paragraph" w:customStyle="1" w:styleId="Nvel2">
    <w:name w:val="Nível 2"/>
    <w:basedOn w:val="Normal"/>
    <w:next w:val="Normal"/>
    <w:pPr>
      <w:spacing w:after="120"/>
      <w:jc w:val="both"/>
    </w:pPr>
    <w:rPr>
      <w:rFonts w:ascii="Arial" w:hAnsi="Arial" w:cs="Arial"/>
      <w:b/>
      <w:szCs w:val="20"/>
    </w:rPr>
  </w:style>
  <w:style w:type="paragraph" w:customStyle="1" w:styleId="Assinaturas">
    <w:name w:val="Assinaturas"/>
    <w:basedOn w:val="Normal"/>
    <w:pPr>
      <w:jc w:val="center"/>
    </w:pPr>
    <w:rPr>
      <w:rFonts w:ascii="Arial" w:hAnsi="Arial" w:cs="Arial"/>
      <w:szCs w:val="2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customStyle="1" w:styleId="WW-BodyText21">
    <w:name w:val="WW-Body Text 21"/>
    <w:basedOn w:val="Normal"/>
    <w:pPr>
      <w:jc w:val="both"/>
    </w:pPr>
    <w:rPr>
      <w:szCs w:val="20"/>
    </w:rPr>
  </w:style>
  <w:style w:type="paragraph" w:styleId="Pr-formatao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WW-Padro">
    <w:name w:val="WW-Padrão"/>
    <w:pPr>
      <w:widowControl w:val="0"/>
      <w:suppressAutoHyphens/>
    </w:pPr>
    <w:rPr>
      <w:rFonts w:eastAsia="Arial"/>
      <w:sz w:val="24"/>
      <w:lang w:eastAsia="ar-SA"/>
    </w:rPr>
  </w:style>
  <w:style w:type="paragraph" w:customStyle="1" w:styleId="Header1">
    <w:name w:val="Header1"/>
    <w:basedOn w:val="Normal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9C554A"/>
    <w:pPr>
      <w:suppressAutoHyphens w:val="0"/>
      <w:spacing w:before="100" w:beforeAutospacing="1" w:after="100" w:afterAutospacing="1"/>
    </w:pPr>
    <w:rPr>
      <w:lang w:eastAsia="pt-BR"/>
    </w:rPr>
  </w:style>
  <w:style w:type="character" w:styleId="Refdecomentrio">
    <w:name w:val="annotation reference"/>
    <w:rsid w:val="00AE1C95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AE1C95"/>
    <w:rPr>
      <w:sz w:val="20"/>
      <w:szCs w:val="20"/>
    </w:rPr>
  </w:style>
  <w:style w:type="character" w:customStyle="1" w:styleId="TextodecomentrioChar">
    <w:name w:val="Texto de comentário Char"/>
    <w:link w:val="Textodecomentrio"/>
    <w:rsid w:val="00AE1C95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AE1C95"/>
    <w:rPr>
      <w:b/>
      <w:bCs/>
    </w:rPr>
  </w:style>
  <w:style w:type="character" w:customStyle="1" w:styleId="AssuntodocomentrioChar">
    <w:name w:val="Assunto do comentário Char"/>
    <w:link w:val="Assuntodocomentrio"/>
    <w:rsid w:val="00AE1C95"/>
    <w:rPr>
      <w:b/>
      <w:bCs/>
      <w:lang w:eastAsia="ar-SA"/>
    </w:rPr>
  </w:style>
  <w:style w:type="paragraph" w:styleId="Textodebalo">
    <w:name w:val="Balloon Text"/>
    <w:basedOn w:val="Normal"/>
    <w:link w:val="TextodebaloChar"/>
    <w:rsid w:val="00AE1C95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AE1C95"/>
    <w:rPr>
      <w:rFonts w:ascii="Tahoma" w:hAnsi="Tahoma" w:cs="Tahoma"/>
      <w:sz w:val="16"/>
      <w:szCs w:val="16"/>
      <w:lang w:eastAsia="ar-SA"/>
    </w:rPr>
  </w:style>
  <w:style w:type="character" w:customStyle="1" w:styleId="CorpodetextoChar1">
    <w:name w:val="Corpo de texto Char1"/>
    <w:link w:val="Corpodetexto"/>
    <w:rsid w:val="003A2991"/>
    <w:rPr>
      <w:sz w:val="24"/>
      <w:lang w:eastAsia="ar-SA"/>
    </w:rPr>
  </w:style>
  <w:style w:type="character" w:customStyle="1" w:styleId="CabealhoChar">
    <w:name w:val="Cabeçalho Char"/>
    <w:aliases w:val="encabezado Char,Cabeçalho1 Char,Heading 1a Char,Cabeçalho 1 Char,Cabeçalho superior Char,hd Char,he Char,Cabeçalho superior Char Char Char Char Char,Cabeçalho superior Char Char Char Char1,Char Char,foote Char, Char2 Char"/>
    <w:link w:val="Cabealho"/>
    <w:rsid w:val="003A2991"/>
    <w:rPr>
      <w:rFonts w:ascii="Arial" w:hAnsi="Arial" w:cs="Arial"/>
      <w:sz w:val="24"/>
      <w:lang w:eastAsia="ar-SA"/>
    </w:rPr>
  </w:style>
  <w:style w:type="paragraph" w:customStyle="1" w:styleId="TextosemFormatao1">
    <w:name w:val="Texto sem Formatação1"/>
    <w:basedOn w:val="Normal"/>
    <w:rsid w:val="00121AEA"/>
    <w:rPr>
      <w:rFonts w:ascii="Courier New" w:hAnsi="Courier New" w:cs="Courier New"/>
      <w:sz w:val="20"/>
      <w:szCs w:val="20"/>
    </w:rPr>
  </w:style>
  <w:style w:type="paragraph" w:customStyle="1" w:styleId="western">
    <w:name w:val="western"/>
    <w:basedOn w:val="Normal"/>
    <w:rsid w:val="00121AEA"/>
    <w:pPr>
      <w:suppressAutoHyphens w:val="0"/>
      <w:spacing w:before="100" w:beforeAutospacing="1" w:after="119"/>
    </w:pPr>
    <w:rPr>
      <w:lang w:eastAsia="pt-BR"/>
    </w:rPr>
  </w:style>
  <w:style w:type="paragraph" w:customStyle="1" w:styleId="TextosemFormatao2">
    <w:name w:val="Texto sem Formatação2"/>
    <w:basedOn w:val="Normal"/>
    <w:rsid w:val="00043057"/>
    <w:rPr>
      <w:rFonts w:ascii="Courier New" w:hAnsi="Courier New" w:cs="Courier New"/>
      <w:sz w:val="20"/>
      <w:szCs w:val="20"/>
    </w:rPr>
  </w:style>
  <w:style w:type="table" w:styleId="Tabelacomgrade">
    <w:name w:val="Table Grid"/>
    <w:basedOn w:val="Tabelanormal"/>
    <w:rsid w:val="0060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C7B92"/>
    <w:pPr>
      <w:autoSpaceDE w:val="0"/>
      <w:autoSpaceDN w:val="0"/>
      <w:adjustRightInd w:val="0"/>
    </w:pPr>
    <w:rPr>
      <w:rFonts w:ascii="Trebuchet MS" w:eastAsia="Calibri" w:hAnsi="Trebuchet MS" w:cs="Trebuchet MS"/>
      <w:color w:val="000000"/>
      <w:sz w:val="24"/>
      <w:szCs w:val="24"/>
      <w:lang w:eastAsia="en-US"/>
    </w:rPr>
  </w:style>
  <w:style w:type="paragraph" w:styleId="Legenda">
    <w:name w:val="caption"/>
    <w:basedOn w:val="Normal"/>
    <w:qFormat/>
    <w:rsid w:val="00690AFD"/>
    <w:pPr>
      <w:keepNext/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WW-Normal">
    <w:name w:val="WW-Normal"/>
    <w:rsid w:val="00690AFD"/>
    <w:pPr>
      <w:widowControl w:val="0"/>
      <w:suppressAutoHyphens/>
      <w:autoSpaceDE w:val="0"/>
    </w:pPr>
    <w:rPr>
      <w:rFonts w:ascii="Times New Roman PS" w:eastAsia="Arial" w:hAnsi="Times New Roman PS" w:cs="Times New Roman PS"/>
      <w:color w:val="000000"/>
      <w:sz w:val="24"/>
      <w:szCs w:val="24"/>
      <w:lang w:eastAsia="zh-CN"/>
    </w:rPr>
  </w:style>
  <w:style w:type="paragraph" w:styleId="Primeirorecuodecorpodetexto">
    <w:name w:val="Body Text First Indent"/>
    <w:basedOn w:val="Corpodetexto"/>
    <w:link w:val="PrimeirorecuodecorpodetextoChar"/>
    <w:rsid w:val="00690AFD"/>
    <w:pPr>
      <w:spacing w:after="120"/>
      <w:ind w:firstLine="210"/>
      <w:jc w:val="left"/>
    </w:pPr>
    <w:rPr>
      <w:rFonts w:ascii="Arial" w:hAnsi="Arial"/>
      <w:sz w:val="32"/>
      <w:lang w:eastAsia="zh-CN"/>
    </w:rPr>
  </w:style>
  <w:style w:type="character" w:customStyle="1" w:styleId="PrimeirorecuodecorpodetextoChar">
    <w:name w:val="Primeiro recuo de corpo de texto Char"/>
    <w:link w:val="Primeirorecuodecorpodetexto"/>
    <w:rsid w:val="00690AFD"/>
    <w:rPr>
      <w:rFonts w:ascii="Arial" w:hAnsi="Arial"/>
      <w:sz w:val="32"/>
      <w:lang w:eastAsia="zh-CN"/>
    </w:rPr>
  </w:style>
  <w:style w:type="paragraph" w:styleId="CabealhodoSumrio">
    <w:name w:val="TOC Heading"/>
    <w:basedOn w:val="Ttulo1"/>
    <w:next w:val="Normal"/>
    <w:uiPriority w:val="39"/>
    <w:unhideWhenUsed/>
    <w:qFormat/>
    <w:rsid w:val="009174C0"/>
    <w:pPr>
      <w:keepLines/>
      <w:numPr>
        <w:numId w:val="0"/>
      </w:numPr>
      <w:tabs>
        <w:tab w:val="clear" w:pos="0"/>
      </w:tabs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Sumrio1">
    <w:name w:val="toc 1"/>
    <w:basedOn w:val="Normal"/>
    <w:next w:val="Normal"/>
    <w:link w:val="Sumrio1Char"/>
    <w:autoRedefine/>
    <w:uiPriority w:val="39"/>
    <w:unhideWhenUsed/>
    <w:rsid w:val="009174C0"/>
    <w:pPr>
      <w:tabs>
        <w:tab w:val="right" w:leader="dot" w:pos="9910"/>
      </w:tabs>
      <w:spacing w:after="100"/>
      <w:ind w:left="284" w:hanging="284"/>
    </w:pPr>
  </w:style>
  <w:style w:type="character" w:styleId="TtulodoLivro">
    <w:name w:val="Book Title"/>
    <w:basedOn w:val="Fontepargpadro"/>
    <w:uiPriority w:val="33"/>
    <w:qFormat/>
    <w:rsid w:val="009174C0"/>
    <w:rPr>
      <w:b/>
      <w:bCs/>
      <w:i/>
      <w:iCs/>
      <w:spacing w:val="5"/>
    </w:rPr>
  </w:style>
  <w:style w:type="paragraph" w:customStyle="1" w:styleId="Indice">
    <w:name w:val="Indice"/>
    <w:basedOn w:val="Sumrio1"/>
    <w:link w:val="IndiceChar"/>
    <w:qFormat/>
    <w:rsid w:val="009174C0"/>
    <w:rPr>
      <w:b/>
      <w:noProof/>
    </w:rPr>
  </w:style>
  <w:style w:type="paragraph" w:customStyle="1" w:styleId="Textonumerado">
    <w:name w:val="Texto numerado"/>
    <w:basedOn w:val="Ttulo2"/>
    <w:link w:val="TextonumeradoChar"/>
    <w:qFormat/>
    <w:rsid w:val="008A658E"/>
    <w:pPr>
      <w:tabs>
        <w:tab w:val="num" w:pos="576"/>
      </w:tabs>
      <w:ind w:left="576"/>
    </w:pPr>
    <w:rPr>
      <w:b/>
    </w:rPr>
  </w:style>
  <w:style w:type="character" w:customStyle="1" w:styleId="Sumrio1Char">
    <w:name w:val="Sumário 1 Char"/>
    <w:basedOn w:val="Fontepargpadro"/>
    <w:link w:val="Sumrio1"/>
    <w:uiPriority w:val="39"/>
    <w:rsid w:val="009174C0"/>
    <w:rPr>
      <w:sz w:val="24"/>
      <w:szCs w:val="24"/>
      <w:lang w:eastAsia="ar-SA"/>
    </w:rPr>
  </w:style>
  <w:style w:type="character" w:customStyle="1" w:styleId="IndiceChar">
    <w:name w:val="Indice Char"/>
    <w:basedOn w:val="Sumrio1Char"/>
    <w:link w:val="Indice"/>
    <w:rsid w:val="009174C0"/>
    <w:rPr>
      <w:b/>
      <w:noProof/>
      <w:sz w:val="24"/>
      <w:szCs w:val="24"/>
      <w:lang w:eastAsia="ar-SA"/>
    </w:rPr>
  </w:style>
  <w:style w:type="paragraph" w:customStyle="1" w:styleId="Numerada1">
    <w:name w:val="Numerada1"/>
    <w:basedOn w:val="Normal"/>
    <w:rsid w:val="003B30C8"/>
    <w:pPr>
      <w:keepNext/>
      <w:widowControl w:val="0"/>
      <w:tabs>
        <w:tab w:val="num" w:pos="1209"/>
      </w:tabs>
      <w:spacing w:before="120" w:after="60" w:line="360" w:lineRule="atLeast"/>
      <w:ind w:left="1474" w:hanging="459"/>
      <w:jc w:val="both"/>
      <w:textAlignment w:val="baseline"/>
    </w:pPr>
    <w:rPr>
      <w:szCs w:val="20"/>
      <w:lang w:eastAsia="zh-CN"/>
    </w:rPr>
  </w:style>
  <w:style w:type="character" w:customStyle="1" w:styleId="Ttulo2Char">
    <w:name w:val="Título 2 Char"/>
    <w:basedOn w:val="Fontepargpadro"/>
    <w:link w:val="Ttulo2"/>
    <w:rsid w:val="00F92CD7"/>
    <w:rPr>
      <w:bCs/>
      <w:sz w:val="24"/>
      <w:szCs w:val="24"/>
      <w:lang w:eastAsia="ar-SA"/>
    </w:rPr>
  </w:style>
  <w:style w:type="character" w:customStyle="1" w:styleId="TextonumeradoChar">
    <w:name w:val="Texto numerado Char"/>
    <w:basedOn w:val="Ttulo2Char"/>
    <w:link w:val="Textonumerado"/>
    <w:rsid w:val="008A658E"/>
    <w:rPr>
      <w:b/>
      <w:bCs/>
      <w:sz w:val="24"/>
      <w:szCs w:val="24"/>
      <w:lang w:eastAsia="ar-SA"/>
    </w:rPr>
  </w:style>
  <w:style w:type="paragraph" w:styleId="Sumrio2">
    <w:name w:val="toc 2"/>
    <w:basedOn w:val="Normal"/>
    <w:next w:val="Normal"/>
    <w:autoRedefine/>
    <w:uiPriority w:val="39"/>
    <w:unhideWhenUsed/>
    <w:rsid w:val="00E524BB"/>
    <w:pPr>
      <w:spacing w:after="100"/>
      <w:ind w:left="240"/>
    </w:pPr>
  </w:style>
  <w:style w:type="paragraph" w:styleId="Sumrio4">
    <w:name w:val="toc 4"/>
    <w:basedOn w:val="Normal"/>
    <w:next w:val="Normal"/>
    <w:autoRedefine/>
    <w:uiPriority w:val="39"/>
    <w:unhideWhenUsed/>
    <w:rsid w:val="00E524BB"/>
    <w:pPr>
      <w:suppressAutoHyphens w:val="0"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E524BB"/>
    <w:pPr>
      <w:suppressAutoHyphens w:val="0"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E524BB"/>
    <w:pPr>
      <w:suppressAutoHyphens w:val="0"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E524BB"/>
    <w:pPr>
      <w:suppressAutoHyphens w:val="0"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E524BB"/>
    <w:pPr>
      <w:suppressAutoHyphens w:val="0"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E524BB"/>
    <w:pPr>
      <w:suppressAutoHyphens w:val="0"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D4597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comprasgovernamentais.gov.b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8A2CA-26D4-46A8-A662-209F50D9F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4603</Words>
  <Characters>24861</Characters>
  <Application>Microsoft Office Word</Application>
  <DocSecurity>0</DocSecurity>
  <Lines>207</Lines>
  <Paragraphs>58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I</vt:lpstr>
      <vt:lpstr>ANEXO I</vt:lpstr>
    </vt:vector>
  </TitlesOfParts>
  <Company>Hewlett-Packard Company</Company>
  <LinksUpToDate>false</LinksUpToDate>
  <CharactersWithSpaces>29406</CharactersWithSpaces>
  <SharedDoc>false</SharedDoc>
  <HLinks>
    <vt:vector size="6" baseType="variant">
      <vt:variant>
        <vt:i4>852041</vt:i4>
      </vt:variant>
      <vt:variant>
        <vt:i4>0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7ªSL</dc:creator>
  <cp:lastModifiedBy>User</cp:lastModifiedBy>
  <cp:revision>6</cp:revision>
  <cp:lastPrinted>2018-08-07T19:30:00Z</cp:lastPrinted>
  <dcterms:created xsi:type="dcterms:W3CDTF">2018-08-07T19:11:00Z</dcterms:created>
  <dcterms:modified xsi:type="dcterms:W3CDTF">2018-08-08T15:45:00Z</dcterms:modified>
</cp:coreProperties>
</file>