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6A1" w:rsidRPr="000161CF" w:rsidRDefault="00CB06A1" w:rsidP="00CB06A1">
      <w:pPr>
        <w:rPr>
          <w:sz w:val="22"/>
          <w:szCs w:val="22"/>
        </w:rPr>
      </w:pPr>
    </w:p>
    <w:p w:rsidR="00CB06A1" w:rsidRPr="000161CF" w:rsidRDefault="00CB06A1" w:rsidP="00CB06A1">
      <w:pPr>
        <w:rPr>
          <w:sz w:val="22"/>
          <w:szCs w:val="22"/>
        </w:rPr>
      </w:pPr>
    </w:p>
    <w:p w:rsidR="00CB06A1" w:rsidRDefault="00CB06A1" w:rsidP="00CB06A1">
      <w:pPr>
        <w:spacing w:before="120" w:after="120"/>
        <w:jc w:val="center"/>
        <w:rPr>
          <w:b/>
          <w:bCs/>
          <w:sz w:val="22"/>
          <w:szCs w:val="22"/>
          <w:u w:val="single"/>
        </w:rPr>
      </w:pPr>
      <w:bookmarkStart w:id="0" w:name="_Toc283911034"/>
      <w:bookmarkEnd w:id="0"/>
      <w:proofErr w:type="gramStart"/>
      <w:r w:rsidRPr="000161CF">
        <w:rPr>
          <w:b/>
          <w:sz w:val="22"/>
          <w:szCs w:val="22"/>
        </w:rPr>
        <w:t xml:space="preserve">ANEXO </w:t>
      </w:r>
      <w:r w:rsidR="00CD2668">
        <w:rPr>
          <w:b/>
          <w:sz w:val="22"/>
          <w:szCs w:val="22"/>
        </w:rPr>
        <w:t>V</w:t>
      </w:r>
      <w:r w:rsidRPr="000161CF">
        <w:rPr>
          <w:b/>
          <w:sz w:val="22"/>
          <w:szCs w:val="22"/>
        </w:rPr>
        <w:t>I</w:t>
      </w:r>
      <w:proofErr w:type="gramEnd"/>
      <w:r>
        <w:rPr>
          <w:b/>
          <w:sz w:val="22"/>
          <w:szCs w:val="22"/>
        </w:rPr>
        <w:t xml:space="preserve"> - </w:t>
      </w:r>
      <w:r w:rsidRPr="000161CF">
        <w:rPr>
          <w:b/>
          <w:bCs/>
          <w:sz w:val="22"/>
          <w:szCs w:val="22"/>
          <w:u w:val="single"/>
        </w:rPr>
        <w:t>ESPECIFICAÇÕES TÉCNICAS</w:t>
      </w:r>
    </w:p>
    <w:p w:rsidR="00CB06A1" w:rsidRDefault="00CB06A1" w:rsidP="00CB06A1">
      <w:pPr>
        <w:spacing w:before="120" w:after="120"/>
        <w:jc w:val="center"/>
        <w:rPr>
          <w:b/>
          <w:bCs/>
          <w:sz w:val="22"/>
          <w:szCs w:val="22"/>
          <w:u w:val="single"/>
        </w:rPr>
      </w:pPr>
    </w:p>
    <w:p w:rsidR="00CB06A1" w:rsidRDefault="00CB06A1" w:rsidP="00CB06A1">
      <w:pPr>
        <w:spacing w:before="120" w:after="120"/>
        <w:jc w:val="center"/>
        <w:rPr>
          <w:b/>
          <w:bCs/>
          <w:sz w:val="22"/>
          <w:szCs w:val="22"/>
          <w:u w:val="single"/>
        </w:rPr>
      </w:pPr>
    </w:p>
    <w:p w:rsidR="00CB06A1" w:rsidRPr="000161CF" w:rsidRDefault="00CB06A1" w:rsidP="00CB06A1">
      <w:pPr>
        <w:spacing w:before="120" w:after="120"/>
        <w:jc w:val="center"/>
        <w:rPr>
          <w:b/>
          <w:bCs/>
          <w:sz w:val="22"/>
          <w:szCs w:val="22"/>
          <w:u w:val="single"/>
        </w:rPr>
      </w:pPr>
    </w:p>
    <w:p w:rsidR="00CB06A1" w:rsidRPr="000161CF" w:rsidRDefault="00CB06A1" w:rsidP="00CB06A1">
      <w:pPr>
        <w:numPr>
          <w:ilvl w:val="0"/>
          <w:numId w:val="1"/>
        </w:numPr>
        <w:tabs>
          <w:tab w:val="num" w:pos="567"/>
        </w:tabs>
        <w:suppressAutoHyphens w:val="0"/>
        <w:autoSpaceDE w:val="0"/>
        <w:autoSpaceDN w:val="0"/>
        <w:spacing w:before="120" w:after="120"/>
        <w:ind w:left="567" w:hanging="567"/>
        <w:jc w:val="both"/>
        <w:rPr>
          <w:b/>
          <w:bCs/>
          <w:sz w:val="22"/>
          <w:szCs w:val="22"/>
        </w:rPr>
      </w:pPr>
      <w:r w:rsidRPr="000161CF">
        <w:rPr>
          <w:b/>
          <w:bCs/>
          <w:sz w:val="22"/>
          <w:szCs w:val="22"/>
          <w:u w:val="single"/>
        </w:rPr>
        <w:t>OBJETIVO</w:t>
      </w:r>
      <w:r w:rsidRPr="000161CF">
        <w:rPr>
          <w:b/>
          <w:bCs/>
          <w:sz w:val="22"/>
          <w:szCs w:val="22"/>
        </w:rPr>
        <w:t xml:space="preserve">: </w:t>
      </w:r>
      <w:r w:rsidRPr="000161CF">
        <w:rPr>
          <w:sz w:val="22"/>
          <w:szCs w:val="22"/>
        </w:rPr>
        <w:t>As Especificações Técnicas têm por finalidade estabelecer as condições gerais que deverão ser obedecidas para os serviço</w:t>
      </w:r>
      <w:r>
        <w:rPr>
          <w:sz w:val="22"/>
          <w:szCs w:val="22"/>
        </w:rPr>
        <w:t>s de gradagem pesada cruzada, em 53</w:t>
      </w:r>
      <w:r w:rsidRPr="000161CF">
        <w:rPr>
          <w:sz w:val="22"/>
          <w:szCs w:val="22"/>
        </w:rPr>
        <w:t xml:space="preserve"> lotes fa</w:t>
      </w:r>
      <w:r>
        <w:rPr>
          <w:sz w:val="22"/>
          <w:szCs w:val="22"/>
        </w:rPr>
        <w:t>miliares, perfazendo um total de 318</w:t>
      </w:r>
      <w:r w:rsidRPr="000161CF">
        <w:rPr>
          <w:sz w:val="22"/>
          <w:szCs w:val="22"/>
        </w:rPr>
        <w:t xml:space="preserve"> hectares no projeto Baixio de Irecê Etapa I, localizado no município de Xique-Xique – BA, área de abrangência da CODEVASF – 2ª Superintendência Regional. Estas Especificações, juntamente com Edital e outros elementos do processo da licitação, farão parte do Contrato que será firmado pela CODEVASF com a Licitante Vencedora.</w:t>
      </w:r>
    </w:p>
    <w:p w:rsidR="00CB06A1" w:rsidRPr="005E6B31" w:rsidRDefault="00CB06A1" w:rsidP="005E6B31">
      <w:pPr>
        <w:pStyle w:val="PargrafodaLista"/>
        <w:numPr>
          <w:ilvl w:val="0"/>
          <w:numId w:val="1"/>
        </w:numPr>
        <w:suppressAutoHyphens w:val="0"/>
        <w:autoSpaceDE w:val="0"/>
        <w:autoSpaceDN w:val="0"/>
        <w:spacing w:before="120" w:after="120"/>
        <w:ind w:hanging="539"/>
        <w:jc w:val="both"/>
        <w:rPr>
          <w:b/>
          <w:bCs/>
          <w:sz w:val="22"/>
          <w:szCs w:val="22"/>
          <w:u w:val="single"/>
        </w:rPr>
      </w:pPr>
      <w:r w:rsidRPr="005E6B31">
        <w:rPr>
          <w:b/>
          <w:bCs/>
          <w:sz w:val="22"/>
          <w:szCs w:val="22"/>
          <w:u w:val="single"/>
        </w:rPr>
        <w:t>DESCRIÇÃO DOS SERVIÇOS</w:t>
      </w:r>
    </w:p>
    <w:p w:rsidR="00CB06A1" w:rsidRPr="000161CF" w:rsidRDefault="00CB06A1" w:rsidP="00CB06A1">
      <w:pPr>
        <w:spacing w:before="120" w:after="120"/>
        <w:ind w:left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Os serviços objetos destas especificações compreendem:</w:t>
      </w:r>
    </w:p>
    <w:tbl>
      <w:tblPr>
        <w:tblW w:w="9072" w:type="dxa"/>
        <w:tblInd w:w="597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60"/>
        <w:gridCol w:w="4819"/>
        <w:gridCol w:w="851"/>
        <w:gridCol w:w="1842"/>
      </w:tblGrid>
      <w:tr w:rsidR="00CB06A1" w:rsidRPr="000161CF" w:rsidTr="00CB06A1">
        <w:trPr>
          <w:cantSplit/>
          <w:trHeight w:val="632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6A1" w:rsidRPr="000161CF" w:rsidRDefault="00CB06A1" w:rsidP="00CB06A1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0161CF">
              <w:rPr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6A1" w:rsidRPr="000161CF" w:rsidRDefault="00CB06A1" w:rsidP="00CB06A1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0161CF">
              <w:rPr>
                <w:b/>
                <w:bCs/>
                <w:sz w:val="22"/>
                <w:szCs w:val="22"/>
              </w:rPr>
              <w:t>DISCRIMINAÇÃO DOS SERVIÇOS E MATERIAIS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6A1" w:rsidRPr="000161CF" w:rsidRDefault="00CB06A1" w:rsidP="00CB06A1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0161CF">
              <w:rPr>
                <w:b/>
                <w:bCs/>
                <w:sz w:val="22"/>
                <w:szCs w:val="22"/>
              </w:rPr>
              <w:t>UNID.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06A1" w:rsidRPr="000161CF" w:rsidRDefault="00CB06A1" w:rsidP="00CB06A1">
            <w:pPr>
              <w:spacing w:before="120" w:after="120"/>
              <w:rPr>
                <w:b/>
                <w:bCs/>
                <w:sz w:val="22"/>
                <w:szCs w:val="22"/>
              </w:rPr>
            </w:pPr>
            <w:r w:rsidRPr="000161CF">
              <w:rPr>
                <w:b/>
                <w:bCs/>
                <w:sz w:val="22"/>
                <w:szCs w:val="22"/>
              </w:rPr>
              <w:t>QUANTIDADE PREVISTA</w:t>
            </w:r>
          </w:p>
        </w:tc>
      </w:tr>
      <w:tr w:rsidR="00CB06A1" w:rsidRPr="000161CF" w:rsidTr="00CB06A1">
        <w:trPr>
          <w:trHeight w:val="202"/>
        </w:trPr>
        <w:tc>
          <w:tcPr>
            <w:tcW w:w="1560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CB06A1" w:rsidRPr="000161CF" w:rsidRDefault="00CB06A1" w:rsidP="00CB06A1">
            <w:pPr>
              <w:spacing w:before="120" w:after="120"/>
              <w:rPr>
                <w:sz w:val="22"/>
                <w:szCs w:val="22"/>
              </w:rPr>
            </w:pPr>
            <w:proofErr w:type="gramStart"/>
            <w:r w:rsidRPr="000161CF">
              <w:rPr>
                <w:sz w:val="22"/>
                <w:szCs w:val="22"/>
              </w:rPr>
              <w:t>1</w:t>
            </w:r>
            <w:proofErr w:type="gramEnd"/>
          </w:p>
        </w:tc>
        <w:tc>
          <w:tcPr>
            <w:tcW w:w="4819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CB06A1" w:rsidRPr="000161CF" w:rsidRDefault="00CB06A1" w:rsidP="00CB06A1">
            <w:pPr>
              <w:spacing w:before="120" w:after="120"/>
              <w:ind w:right="11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Gradagem pesada com trator de pneu</w:t>
            </w:r>
            <w:r w:rsidRPr="000161CF">
              <w:rPr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  <w:vAlign w:val="center"/>
          </w:tcPr>
          <w:p w:rsidR="00CB06A1" w:rsidRPr="000161CF" w:rsidRDefault="00CB06A1" w:rsidP="00CB06A1">
            <w:pPr>
              <w:spacing w:before="120" w:after="120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ha</w:t>
            </w:r>
            <w:proofErr w:type="gramEnd"/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CB06A1" w:rsidRPr="000161CF" w:rsidRDefault="00CB06A1" w:rsidP="00CB06A1">
            <w:pPr>
              <w:spacing w:before="120" w:after="120"/>
              <w:ind w:right="11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318</w:t>
            </w:r>
            <w:r w:rsidRPr="000161CF">
              <w:rPr>
                <w:sz w:val="22"/>
                <w:szCs w:val="22"/>
              </w:rPr>
              <w:t>,00</w:t>
            </w:r>
          </w:p>
        </w:tc>
      </w:tr>
    </w:tbl>
    <w:p w:rsidR="00CB06A1" w:rsidRPr="000161CF" w:rsidRDefault="00CB06A1" w:rsidP="00CB06A1">
      <w:pPr>
        <w:numPr>
          <w:ilvl w:val="1"/>
          <w:numId w:val="3"/>
        </w:numPr>
        <w:suppressAutoHyphens w:val="0"/>
        <w:autoSpaceDE w:val="0"/>
        <w:autoSpaceDN w:val="0"/>
        <w:spacing w:before="120" w:after="120"/>
        <w:ind w:left="567" w:hanging="567"/>
        <w:jc w:val="both"/>
        <w:rPr>
          <w:b/>
          <w:bCs/>
          <w:sz w:val="22"/>
          <w:szCs w:val="22"/>
          <w:u w:val="single"/>
        </w:rPr>
      </w:pPr>
      <w:r w:rsidRPr="000161CF">
        <w:rPr>
          <w:b/>
          <w:bCs/>
          <w:sz w:val="22"/>
          <w:szCs w:val="22"/>
          <w:u w:val="single"/>
        </w:rPr>
        <w:t xml:space="preserve">INSTALAÇÃO, MOBILIZAÇÃO E </w:t>
      </w:r>
      <w:proofErr w:type="gramStart"/>
      <w:r w:rsidRPr="000161CF">
        <w:rPr>
          <w:b/>
          <w:bCs/>
          <w:sz w:val="22"/>
          <w:szCs w:val="22"/>
          <w:u w:val="single"/>
        </w:rPr>
        <w:t>DESMOBILIZAÇÃO</w:t>
      </w:r>
      <w:proofErr w:type="gramEnd"/>
    </w:p>
    <w:p w:rsidR="00CB06A1" w:rsidRPr="000161CF" w:rsidRDefault="00CB06A1" w:rsidP="005E6B31">
      <w:pPr>
        <w:keepNext/>
        <w:spacing w:before="120" w:after="120"/>
        <w:ind w:left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A contratada será responsável pelo planejamento</w:t>
      </w:r>
      <w:proofErr w:type="gramStart"/>
      <w:r w:rsidRPr="000161CF">
        <w:rPr>
          <w:sz w:val="22"/>
          <w:szCs w:val="22"/>
        </w:rPr>
        <w:t xml:space="preserve">  </w:t>
      </w:r>
      <w:proofErr w:type="gramEnd"/>
      <w:r w:rsidRPr="000161CF">
        <w:rPr>
          <w:sz w:val="22"/>
          <w:szCs w:val="22"/>
        </w:rPr>
        <w:t xml:space="preserve">da mobilização e desmobilização  bem como será de </w:t>
      </w:r>
      <w:proofErr w:type="gramStart"/>
      <w:r w:rsidRPr="000161CF">
        <w:rPr>
          <w:sz w:val="22"/>
          <w:szCs w:val="22"/>
        </w:rPr>
        <w:t>sua</w:t>
      </w:r>
      <w:proofErr w:type="gramEnd"/>
      <w:r w:rsidRPr="000161CF">
        <w:rPr>
          <w:sz w:val="22"/>
          <w:szCs w:val="22"/>
        </w:rPr>
        <w:t xml:space="preserve"> responsabilidade a instalação da </w:t>
      </w:r>
      <w:proofErr w:type="spellStart"/>
      <w:r w:rsidRPr="000161CF">
        <w:rPr>
          <w:sz w:val="22"/>
          <w:szCs w:val="22"/>
        </w:rPr>
        <w:t>infra-estrutura</w:t>
      </w:r>
      <w:proofErr w:type="spellEnd"/>
      <w:r w:rsidRPr="000161CF">
        <w:rPr>
          <w:sz w:val="22"/>
          <w:szCs w:val="22"/>
        </w:rPr>
        <w:t xml:space="preserve"> necessária à condução dos Serviços.</w:t>
      </w:r>
    </w:p>
    <w:p w:rsidR="00CB06A1" w:rsidRPr="000161CF" w:rsidRDefault="00CB06A1" w:rsidP="005E6B31">
      <w:pPr>
        <w:spacing w:before="120" w:after="120"/>
        <w:ind w:left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A Contratada deverá instalar</w:t>
      </w:r>
      <w:proofErr w:type="gramStart"/>
      <w:r w:rsidRPr="000161CF">
        <w:rPr>
          <w:sz w:val="22"/>
          <w:szCs w:val="22"/>
        </w:rPr>
        <w:t xml:space="preserve">  </w:t>
      </w:r>
      <w:proofErr w:type="gramEnd"/>
      <w:r w:rsidRPr="000161CF">
        <w:rPr>
          <w:sz w:val="22"/>
          <w:szCs w:val="22"/>
        </w:rPr>
        <w:t xml:space="preserve">placa indicativa dos serviços, em local a ser definido pela Fiscalização. O modelo padrão será o 1-B do anexo do manual instrução para a preparação de placas de obras do Ministério da Integração Nacional, disponível no site: </w:t>
      </w:r>
      <w:hyperlink r:id="rId7" w:history="1">
        <w:r w:rsidRPr="000161CF">
          <w:rPr>
            <w:rStyle w:val="Hyperlink"/>
            <w:sz w:val="22"/>
            <w:szCs w:val="22"/>
          </w:rPr>
          <w:t>www.integracao.gov.br</w:t>
        </w:r>
      </w:hyperlink>
      <w:r w:rsidRPr="000161CF">
        <w:rPr>
          <w:sz w:val="22"/>
          <w:szCs w:val="22"/>
        </w:rPr>
        <w:t xml:space="preserve">. </w:t>
      </w:r>
    </w:p>
    <w:p w:rsidR="00CB06A1" w:rsidRPr="000161CF" w:rsidRDefault="00CB06A1" w:rsidP="005E6B31">
      <w:pPr>
        <w:spacing w:before="120" w:after="120"/>
        <w:ind w:left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A licitante vencedora, após a assinatura do contrato e emissão da nota de empenho, deverá tomar todas as providências necessária</w:t>
      </w:r>
      <w:r>
        <w:rPr>
          <w:sz w:val="22"/>
          <w:szCs w:val="22"/>
        </w:rPr>
        <w:t>s à mobilização e instalação da equipe</w:t>
      </w:r>
      <w:r w:rsidRPr="000161CF">
        <w:rPr>
          <w:sz w:val="22"/>
          <w:szCs w:val="22"/>
        </w:rPr>
        <w:t>, em local previamente aprovado pela fiscalização dos serviços.</w:t>
      </w:r>
    </w:p>
    <w:p w:rsidR="00CB06A1" w:rsidRPr="005E6B31" w:rsidRDefault="00CB06A1" w:rsidP="005E6B31">
      <w:pPr>
        <w:pStyle w:val="PargrafodaLista"/>
        <w:numPr>
          <w:ilvl w:val="1"/>
          <w:numId w:val="1"/>
        </w:numPr>
        <w:tabs>
          <w:tab w:val="clear" w:pos="0"/>
          <w:tab w:val="num" w:pos="567"/>
        </w:tabs>
        <w:spacing w:before="120" w:after="120"/>
        <w:ind w:left="567" w:hanging="567"/>
        <w:jc w:val="both"/>
        <w:rPr>
          <w:b/>
          <w:sz w:val="22"/>
          <w:szCs w:val="22"/>
        </w:rPr>
      </w:pPr>
      <w:r w:rsidRPr="005E6B31">
        <w:rPr>
          <w:b/>
          <w:sz w:val="22"/>
          <w:szCs w:val="22"/>
          <w:u w:val="single"/>
        </w:rPr>
        <w:t>Medição e Pagamento</w:t>
      </w:r>
    </w:p>
    <w:p w:rsidR="00CB06A1" w:rsidRPr="000161CF" w:rsidRDefault="00CB06A1" w:rsidP="005E6B31">
      <w:pPr>
        <w:spacing w:before="120" w:after="120"/>
        <w:ind w:left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A medição e o pagamento da instalação e mobilização se darão conforme o item 10 do Termo de Referência.</w:t>
      </w:r>
    </w:p>
    <w:p w:rsidR="00CB06A1" w:rsidRPr="000161CF" w:rsidRDefault="00CB06A1" w:rsidP="005E6B31">
      <w:pPr>
        <w:keepNext/>
        <w:widowControl w:val="0"/>
        <w:autoSpaceDE w:val="0"/>
        <w:spacing w:before="120" w:after="120"/>
        <w:ind w:left="567" w:hanging="567"/>
        <w:jc w:val="both"/>
        <w:outlineLvl w:val="1"/>
        <w:rPr>
          <w:b/>
          <w:bCs/>
          <w:sz w:val="22"/>
          <w:szCs w:val="22"/>
          <w:u w:val="single"/>
        </w:rPr>
      </w:pPr>
      <w:proofErr w:type="gramStart"/>
      <w:r w:rsidRPr="000161CF">
        <w:rPr>
          <w:b/>
          <w:bCs/>
          <w:sz w:val="22"/>
          <w:szCs w:val="22"/>
          <w:u w:val="single"/>
        </w:rPr>
        <w:t>2.2 - PLACA</w:t>
      </w:r>
      <w:proofErr w:type="gramEnd"/>
      <w:r w:rsidRPr="000161CF">
        <w:rPr>
          <w:b/>
          <w:bCs/>
          <w:sz w:val="22"/>
          <w:szCs w:val="22"/>
          <w:u w:val="single"/>
        </w:rPr>
        <w:t xml:space="preserve"> DA OBRA</w:t>
      </w:r>
    </w:p>
    <w:p w:rsidR="00CB06A1" w:rsidRPr="000161CF" w:rsidRDefault="00CB06A1" w:rsidP="005E6B31">
      <w:pPr>
        <w:spacing w:before="120" w:after="120"/>
        <w:ind w:left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 xml:space="preserve">A contratada deverá colocar placa indicativa dos serviços, com padrão definido pela CODEVASF e cujas medidas das peças componentes, encontram-se definidas na planilha específica de composição de custos, devendo o local de fixação </w:t>
      </w:r>
      <w:proofErr w:type="gramStart"/>
      <w:r w:rsidRPr="000161CF">
        <w:rPr>
          <w:sz w:val="22"/>
          <w:szCs w:val="22"/>
        </w:rPr>
        <w:t>da mesma ser</w:t>
      </w:r>
      <w:proofErr w:type="gramEnd"/>
      <w:r w:rsidRPr="000161CF">
        <w:rPr>
          <w:sz w:val="22"/>
          <w:szCs w:val="22"/>
        </w:rPr>
        <w:t xml:space="preserve"> definido pela Fiscalização.</w:t>
      </w:r>
    </w:p>
    <w:p w:rsidR="00CB06A1" w:rsidRPr="000161CF" w:rsidRDefault="00CB06A1" w:rsidP="005E6B31">
      <w:pPr>
        <w:suppressAutoHyphens w:val="0"/>
        <w:autoSpaceDE w:val="0"/>
        <w:autoSpaceDN w:val="0"/>
        <w:spacing w:before="120" w:after="120"/>
        <w:ind w:left="567" w:hanging="567"/>
        <w:jc w:val="both"/>
        <w:rPr>
          <w:b/>
          <w:bCs/>
          <w:sz w:val="22"/>
          <w:szCs w:val="22"/>
        </w:rPr>
      </w:pPr>
      <w:r w:rsidRPr="000161CF">
        <w:rPr>
          <w:b/>
          <w:bCs/>
          <w:sz w:val="22"/>
          <w:szCs w:val="22"/>
          <w:u w:val="single"/>
        </w:rPr>
        <w:t>2.3</w:t>
      </w:r>
      <w:r w:rsidR="005E6B31">
        <w:rPr>
          <w:b/>
          <w:bCs/>
          <w:sz w:val="22"/>
          <w:szCs w:val="22"/>
          <w:u w:val="single"/>
        </w:rPr>
        <w:t xml:space="preserve"> </w:t>
      </w:r>
      <w:r w:rsidRPr="000161CF">
        <w:rPr>
          <w:b/>
          <w:bCs/>
          <w:sz w:val="22"/>
          <w:szCs w:val="22"/>
          <w:u w:val="single"/>
        </w:rPr>
        <w:t>-</w:t>
      </w:r>
      <w:r w:rsidR="005E6B31">
        <w:rPr>
          <w:b/>
          <w:bCs/>
          <w:sz w:val="22"/>
          <w:szCs w:val="22"/>
          <w:u w:val="single"/>
        </w:rPr>
        <w:tab/>
      </w:r>
      <w:r w:rsidRPr="000161CF">
        <w:rPr>
          <w:b/>
          <w:bCs/>
          <w:sz w:val="22"/>
          <w:szCs w:val="22"/>
          <w:u w:val="single"/>
        </w:rPr>
        <w:t>EXECUÇÃO DOS</w:t>
      </w:r>
      <w:proofErr w:type="gramStart"/>
      <w:r w:rsidRPr="000161CF">
        <w:rPr>
          <w:b/>
          <w:bCs/>
          <w:sz w:val="22"/>
          <w:szCs w:val="22"/>
          <w:u w:val="single"/>
        </w:rPr>
        <w:t xml:space="preserve">  </w:t>
      </w:r>
      <w:proofErr w:type="gramEnd"/>
      <w:r w:rsidRPr="000161CF">
        <w:rPr>
          <w:b/>
          <w:bCs/>
          <w:sz w:val="22"/>
          <w:szCs w:val="22"/>
          <w:u w:val="single"/>
        </w:rPr>
        <w:t>SERVIÇOS</w:t>
      </w:r>
      <w:r w:rsidRPr="000161CF">
        <w:rPr>
          <w:b/>
          <w:bCs/>
          <w:sz w:val="22"/>
          <w:szCs w:val="22"/>
        </w:rPr>
        <w:t>:</w:t>
      </w:r>
    </w:p>
    <w:p w:rsidR="00CB06A1" w:rsidRPr="00A156C1" w:rsidRDefault="00CB06A1" w:rsidP="005E6B31">
      <w:pPr>
        <w:spacing w:before="120" w:after="120"/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2.3.1 Equipamentos:</w:t>
      </w:r>
    </w:p>
    <w:p w:rsidR="00CB06A1" w:rsidRPr="00A156C1" w:rsidRDefault="00CB06A1" w:rsidP="005E6B31">
      <w:pPr>
        <w:spacing w:before="120" w:after="120"/>
        <w:ind w:left="567"/>
        <w:jc w:val="both"/>
        <w:rPr>
          <w:sz w:val="24"/>
          <w:szCs w:val="24"/>
        </w:rPr>
      </w:pPr>
      <w:r w:rsidRPr="00A156C1">
        <w:rPr>
          <w:sz w:val="24"/>
          <w:szCs w:val="24"/>
        </w:rPr>
        <w:t xml:space="preserve">Todo equipamento </w:t>
      </w:r>
      <w:r>
        <w:rPr>
          <w:sz w:val="24"/>
          <w:szCs w:val="24"/>
        </w:rPr>
        <w:t>a ser utilizado deve ser inspecionado pela f</w:t>
      </w:r>
      <w:r w:rsidRPr="00A156C1">
        <w:rPr>
          <w:sz w:val="24"/>
          <w:szCs w:val="24"/>
        </w:rPr>
        <w:t xml:space="preserve">iscalização, devendo dela receber a aprovação, sem o que não deve ser dada a autorização para início dos serviços. </w:t>
      </w:r>
    </w:p>
    <w:p w:rsidR="00CB06A1" w:rsidRPr="00A156C1" w:rsidRDefault="00CB06A1" w:rsidP="005E6B31">
      <w:pPr>
        <w:spacing w:before="120" w:after="120"/>
        <w:ind w:left="567"/>
        <w:jc w:val="both"/>
        <w:rPr>
          <w:sz w:val="24"/>
          <w:szCs w:val="24"/>
        </w:rPr>
      </w:pPr>
      <w:r w:rsidRPr="00A156C1">
        <w:rPr>
          <w:sz w:val="24"/>
          <w:szCs w:val="24"/>
        </w:rPr>
        <w:t>O</w:t>
      </w:r>
      <w:r>
        <w:rPr>
          <w:sz w:val="24"/>
          <w:szCs w:val="24"/>
        </w:rPr>
        <w:t>s</w:t>
      </w:r>
      <w:r w:rsidRPr="00A156C1">
        <w:rPr>
          <w:sz w:val="24"/>
          <w:szCs w:val="24"/>
        </w:rPr>
        <w:t xml:space="preserve"> equipamento</w:t>
      </w:r>
      <w:r>
        <w:rPr>
          <w:sz w:val="24"/>
          <w:szCs w:val="24"/>
        </w:rPr>
        <w:t>s</w:t>
      </w:r>
      <w:r w:rsidRPr="00A156C1">
        <w:rPr>
          <w:sz w:val="24"/>
          <w:szCs w:val="24"/>
        </w:rPr>
        <w:t xml:space="preserve"> básico</w:t>
      </w:r>
      <w:r>
        <w:rPr>
          <w:sz w:val="24"/>
          <w:szCs w:val="24"/>
        </w:rPr>
        <w:t>s</w:t>
      </w:r>
      <w:r w:rsidRPr="00A156C1">
        <w:rPr>
          <w:sz w:val="24"/>
          <w:szCs w:val="24"/>
        </w:rPr>
        <w:t xml:space="preserve"> para a execução dos serviços compreende</w:t>
      </w:r>
      <w:r>
        <w:rPr>
          <w:sz w:val="24"/>
          <w:szCs w:val="24"/>
        </w:rPr>
        <w:t>m</w:t>
      </w:r>
      <w:r w:rsidRPr="00A156C1">
        <w:rPr>
          <w:sz w:val="24"/>
          <w:szCs w:val="24"/>
        </w:rPr>
        <w:t xml:space="preserve"> as seguintes unidades:</w:t>
      </w:r>
    </w:p>
    <w:p w:rsidR="00CB06A1" w:rsidRDefault="00CB06A1" w:rsidP="005E6B31">
      <w:pPr>
        <w:spacing w:before="120"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- 03 tratores agrícolas de pneus (110 a 126 </w:t>
      </w:r>
      <w:proofErr w:type="spellStart"/>
      <w:proofErr w:type="gramStart"/>
      <w:r>
        <w:rPr>
          <w:sz w:val="24"/>
          <w:szCs w:val="24"/>
        </w:rPr>
        <w:t>hp</w:t>
      </w:r>
      <w:proofErr w:type="spellEnd"/>
      <w:proofErr w:type="gramEnd"/>
      <w:r>
        <w:rPr>
          <w:sz w:val="24"/>
          <w:szCs w:val="24"/>
        </w:rPr>
        <w:t>);</w:t>
      </w:r>
    </w:p>
    <w:p w:rsidR="00CB06A1" w:rsidRDefault="00CB06A1" w:rsidP="005E6B31">
      <w:pPr>
        <w:spacing w:before="120" w:after="120"/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- 03 grades </w:t>
      </w:r>
      <w:proofErr w:type="spellStart"/>
      <w:r>
        <w:rPr>
          <w:sz w:val="24"/>
          <w:szCs w:val="24"/>
        </w:rPr>
        <w:t>aradora</w:t>
      </w:r>
      <w:proofErr w:type="spellEnd"/>
      <w:r>
        <w:rPr>
          <w:sz w:val="24"/>
          <w:szCs w:val="24"/>
        </w:rPr>
        <w:t>;</w:t>
      </w:r>
    </w:p>
    <w:p w:rsidR="00CB06A1" w:rsidRDefault="00CB06A1" w:rsidP="005E6B31">
      <w:pPr>
        <w:spacing w:before="120" w:after="120"/>
        <w:ind w:left="567"/>
        <w:jc w:val="both"/>
        <w:rPr>
          <w:sz w:val="24"/>
          <w:szCs w:val="24"/>
        </w:rPr>
      </w:pPr>
      <w:r w:rsidRPr="00A156C1">
        <w:rPr>
          <w:sz w:val="24"/>
          <w:szCs w:val="24"/>
        </w:rPr>
        <w:t>Outros equipamentos, a critério da Fiscalização, podem ser utilizados.</w:t>
      </w:r>
    </w:p>
    <w:p w:rsidR="00CB06A1" w:rsidRPr="00EF0E51" w:rsidRDefault="00CB06A1" w:rsidP="005E6B31">
      <w:pPr>
        <w:tabs>
          <w:tab w:val="left" w:pos="567"/>
        </w:tabs>
        <w:suppressAutoHyphens w:val="0"/>
        <w:autoSpaceDE w:val="0"/>
        <w:autoSpaceDN w:val="0"/>
        <w:spacing w:before="120" w:after="120"/>
        <w:ind w:left="567" w:hanging="56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 xml:space="preserve">2.3.2 </w:t>
      </w:r>
      <w:r w:rsidR="005E6B31">
        <w:rPr>
          <w:b/>
          <w:bCs/>
          <w:sz w:val="24"/>
          <w:szCs w:val="24"/>
        </w:rPr>
        <w:tab/>
      </w:r>
      <w:r w:rsidRPr="00EF0E51">
        <w:rPr>
          <w:b/>
          <w:bCs/>
          <w:sz w:val="24"/>
          <w:szCs w:val="24"/>
        </w:rPr>
        <w:t>Gradagem pesada cruzada:</w:t>
      </w:r>
    </w:p>
    <w:p w:rsidR="00CB06A1" w:rsidRDefault="00CB06A1" w:rsidP="005E6B31">
      <w:pPr>
        <w:suppressAutoHyphens w:val="0"/>
        <w:autoSpaceDE w:val="0"/>
        <w:autoSpaceDN w:val="0"/>
        <w:spacing w:before="120" w:after="120"/>
        <w:ind w:left="567"/>
        <w:jc w:val="both"/>
        <w:rPr>
          <w:b/>
          <w:bCs/>
          <w:color w:val="FF0000"/>
          <w:sz w:val="24"/>
          <w:szCs w:val="24"/>
        </w:rPr>
      </w:pPr>
      <w:r w:rsidRPr="0067235B">
        <w:rPr>
          <w:snapToGrid w:val="0"/>
          <w:sz w:val="24"/>
          <w:szCs w:val="24"/>
        </w:rPr>
        <w:t xml:space="preserve">Será executada utilizando grade </w:t>
      </w:r>
      <w:proofErr w:type="spellStart"/>
      <w:r w:rsidRPr="0067235B">
        <w:rPr>
          <w:snapToGrid w:val="0"/>
          <w:sz w:val="24"/>
          <w:szCs w:val="24"/>
        </w:rPr>
        <w:t>aradora</w:t>
      </w:r>
      <w:proofErr w:type="spellEnd"/>
      <w:r w:rsidRPr="0067235B">
        <w:rPr>
          <w:snapToGrid w:val="0"/>
          <w:sz w:val="24"/>
          <w:szCs w:val="24"/>
        </w:rPr>
        <w:t xml:space="preserve"> de grande porte a exemplo de 36 a 40 discos com diâmetro de 30 polegadas, de modo a garantir sua eficiência em termo de profundida</w:t>
      </w:r>
      <w:r>
        <w:rPr>
          <w:snapToGrid w:val="0"/>
          <w:sz w:val="24"/>
          <w:szCs w:val="24"/>
        </w:rPr>
        <w:t xml:space="preserve">de de corte e incorporação dos </w:t>
      </w:r>
      <w:r w:rsidRPr="0067235B">
        <w:rPr>
          <w:snapToGrid w:val="0"/>
          <w:sz w:val="24"/>
          <w:szCs w:val="24"/>
        </w:rPr>
        <w:t xml:space="preserve">restos vegetais. </w:t>
      </w:r>
    </w:p>
    <w:p w:rsidR="00CB06A1" w:rsidRPr="009E05B3" w:rsidRDefault="00CB06A1" w:rsidP="005E6B31">
      <w:pPr>
        <w:suppressAutoHyphens w:val="0"/>
        <w:autoSpaceDE w:val="0"/>
        <w:autoSpaceDN w:val="0"/>
        <w:spacing w:before="120" w:after="120"/>
        <w:ind w:left="567"/>
        <w:jc w:val="both"/>
        <w:rPr>
          <w:b/>
          <w:bCs/>
          <w:color w:val="FF0000"/>
          <w:sz w:val="24"/>
          <w:szCs w:val="24"/>
        </w:rPr>
      </w:pPr>
      <w:r>
        <w:rPr>
          <w:snapToGrid w:val="0"/>
          <w:sz w:val="24"/>
          <w:szCs w:val="24"/>
        </w:rPr>
        <w:t>A s</w:t>
      </w:r>
      <w:r w:rsidRPr="0067235B">
        <w:rPr>
          <w:snapToGrid w:val="0"/>
          <w:sz w:val="24"/>
          <w:szCs w:val="24"/>
        </w:rPr>
        <w:t xml:space="preserve">egunda </w:t>
      </w:r>
      <w:r>
        <w:rPr>
          <w:snapToGrid w:val="0"/>
          <w:sz w:val="24"/>
          <w:szCs w:val="24"/>
        </w:rPr>
        <w:t xml:space="preserve">gradagem </w:t>
      </w:r>
      <w:r w:rsidRPr="0067235B">
        <w:rPr>
          <w:snapToGrid w:val="0"/>
          <w:sz w:val="24"/>
          <w:szCs w:val="24"/>
        </w:rPr>
        <w:t>deverá ser executada no sentido perpendicula</w:t>
      </w:r>
      <w:r>
        <w:rPr>
          <w:snapToGrid w:val="0"/>
          <w:sz w:val="24"/>
          <w:szCs w:val="24"/>
        </w:rPr>
        <w:t>r à primeira, dando o melhor desempenho</w:t>
      </w:r>
      <w:r w:rsidRPr="0067235B">
        <w:rPr>
          <w:snapToGrid w:val="0"/>
          <w:sz w:val="24"/>
          <w:szCs w:val="24"/>
        </w:rPr>
        <w:t xml:space="preserve"> possível ao preparo do solo. </w:t>
      </w:r>
    </w:p>
    <w:p w:rsidR="00CB06A1" w:rsidRPr="00EB0B6E" w:rsidRDefault="00CB06A1" w:rsidP="005E6B31">
      <w:pPr>
        <w:pStyle w:val="SubItem2"/>
        <w:spacing w:before="120" w:after="120"/>
        <w:ind w:left="567" w:hanging="567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2.3.2.1</w:t>
      </w:r>
      <w:r w:rsidRPr="00EB0B6E">
        <w:rPr>
          <w:rFonts w:ascii="Times New Roman" w:hAnsi="Times New Roman" w:cs="Times New Roman"/>
          <w:b/>
        </w:rPr>
        <w:t xml:space="preserve"> </w:t>
      </w:r>
      <w:r w:rsidRPr="00EB0B6E">
        <w:rPr>
          <w:rFonts w:ascii="Times New Roman" w:hAnsi="Times New Roman" w:cs="Times New Roman"/>
          <w:b/>
          <w:bCs/>
        </w:rPr>
        <w:t>Medição e Pagamento</w:t>
      </w:r>
    </w:p>
    <w:p w:rsidR="00CB06A1" w:rsidRPr="00EF0E51" w:rsidRDefault="00CB06A1" w:rsidP="005E6B31">
      <w:pPr>
        <w:pStyle w:val="SubItem2"/>
        <w:spacing w:before="120" w:after="120"/>
        <w:ind w:left="567"/>
        <w:rPr>
          <w:rFonts w:ascii="Times New Roman" w:hAnsi="Times New Roman" w:cs="Times New Roman"/>
        </w:rPr>
      </w:pPr>
      <w:r w:rsidRPr="00EF0E51">
        <w:rPr>
          <w:rFonts w:ascii="Times New Roman" w:hAnsi="Times New Roman" w:cs="Times New Roman"/>
        </w:rPr>
        <w:t>Os serviços de gradagem serão medidos tomando-se como unidade o hectare de área executado</w:t>
      </w:r>
      <w:r>
        <w:rPr>
          <w:rFonts w:ascii="Times New Roman" w:hAnsi="Times New Roman" w:cs="Times New Roman"/>
        </w:rPr>
        <w:t>.</w:t>
      </w:r>
    </w:p>
    <w:p w:rsidR="00CB06A1" w:rsidRPr="00EF0E51" w:rsidRDefault="00CB06A1" w:rsidP="005E6B31">
      <w:pPr>
        <w:pStyle w:val="SubItem2"/>
        <w:spacing w:before="120" w:after="120"/>
        <w:ind w:left="567"/>
        <w:rPr>
          <w:rFonts w:ascii="Times New Roman" w:hAnsi="Times New Roman" w:cs="Times New Roman"/>
        </w:rPr>
      </w:pPr>
      <w:r w:rsidRPr="00EF0E51">
        <w:rPr>
          <w:rFonts w:ascii="Times New Roman" w:hAnsi="Times New Roman" w:cs="Times New Roman"/>
        </w:rPr>
        <w:t>A quantificação e medição destes serviços serão pagos de acordo com os preços unitários que constem na planilha de preços para o item gradagem pesada cruzada, de acordo com os critérios de medição acima estabelecidos.</w:t>
      </w:r>
    </w:p>
    <w:p w:rsidR="00CB06A1" w:rsidRPr="000161CF" w:rsidRDefault="00CB06A1" w:rsidP="005E6B31">
      <w:pPr>
        <w:numPr>
          <w:ilvl w:val="0"/>
          <w:numId w:val="3"/>
        </w:numPr>
        <w:suppressAutoHyphens w:val="0"/>
        <w:autoSpaceDE w:val="0"/>
        <w:autoSpaceDN w:val="0"/>
        <w:spacing w:before="120" w:after="120"/>
        <w:ind w:left="567" w:hanging="567"/>
        <w:jc w:val="both"/>
        <w:rPr>
          <w:sz w:val="22"/>
          <w:szCs w:val="22"/>
        </w:rPr>
      </w:pPr>
      <w:r w:rsidRPr="000161CF">
        <w:rPr>
          <w:b/>
          <w:bCs/>
          <w:sz w:val="22"/>
          <w:szCs w:val="22"/>
          <w:u w:val="single"/>
        </w:rPr>
        <w:t>RESPONSABILIDADE DA CONTRATADA:</w:t>
      </w:r>
    </w:p>
    <w:p w:rsidR="00CB06A1" w:rsidRPr="000161CF" w:rsidRDefault="00CB06A1" w:rsidP="005E6B31">
      <w:pPr>
        <w:numPr>
          <w:ilvl w:val="0"/>
          <w:numId w:val="2"/>
        </w:numPr>
        <w:tabs>
          <w:tab w:val="clear" w:pos="785"/>
          <w:tab w:val="num" w:pos="1134"/>
        </w:tabs>
        <w:suppressAutoHyphens w:val="0"/>
        <w:autoSpaceDE w:val="0"/>
        <w:autoSpaceDN w:val="0"/>
        <w:spacing w:before="120" w:after="120"/>
        <w:ind w:left="1134" w:hanging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Os serviços serão realizados em conformidade com as cláusulas contratuais, resultante do Termo de Referência,</w:t>
      </w:r>
      <w:proofErr w:type="gramStart"/>
      <w:r w:rsidRPr="000161CF">
        <w:rPr>
          <w:sz w:val="22"/>
          <w:szCs w:val="22"/>
        </w:rPr>
        <w:t xml:space="preserve">  </w:t>
      </w:r>
      <w:proofErr w:type="gramEnd"/>
      <w:r w:rsidRPr="000161CF">
        <w:rPr>
          <w:sz w:val="22"/>
          <w:szCs w:val="22"/>
        </w:rPr>
        <w:t>Especificações Técnicas e anexos, que juntados à proposta da CONTRATADA, farão parte integrante do CONTRATO.</w:t>
      </w:r>
    </w:p>
    <w:p w:rsidR="00CB06A1" w:rsidRPr="000161CF" w:rsidRDefault="00CB06A1" w:rsidP="005E6B31">
      <w:pPr>
        <w:numPr>
          <w:ilvl w:val="0"/>
          <w:numId w:val="2"/>
        </w:numPr>
        <w:tabs>
          <w:tab w:val="clear" w:pos="785"/>
          <w:tab w:val="num" w:pos="1134"/>
        </w:tabs>
        <w:suppressAutoHyphens w:val="0"/>
        <w:autoSpaceDE w:val="0"/>
        <w:autoSpaceDN w:val="0"/>
        <w:spacing w:before="120" w:after="120"/>
        <w:ind w:left="1134" w:hanging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 xml:space="preserve">A CONTRATADA será responsável, perante CODEVASF, pela qualidade dos serviços e à observância de normas técnicas. </w:t>
      </w:r>
    </w:p>
    <w:p w:rsidR="00CB06A1" w:rsidRPr="000161CF" w:rsidRDefault="00CB06A1" w:rsidP="005E6B31">
      <w:pPr>
        <w:numPr>
          <w:ilvl w:val="0"/>
          <w:numId w:val="2"/>
        </w:numPr>
        <w:tabs>
          <w:tab w:val="clear" w:pos="785"/>
          <w:tab w:val="num" w:pos="1134"/>
        </w:tabs>
        <w:suppressAutoHyphens w:val="0"/>
        <w:autoSpaceDE w:val="0"/>
        <w:autoSpaceDN w:val="0"/>
        <w:spacing w:before="120" w:after="120"/>
        <w:ind w:left="1134" w:hanging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 xml:space="preserve">Caso a licitante realize </w:t>
      </w:r>
      <w:proofErr w:type="gramStart"/>
      <w:r w:rsidRPr="000161CF">
        <w:rPr>
          <w:sz w:val="22"/>
          <w:szCs w:val="22"/>
        </w:rPr>
        <w:t>à</w:t>
      </w:r>
      <w:proofErr w:type="gramEnd"/>
      <w:r w:rsidRPr="000161CF">
        <w:rPr>
          <w:sz w:val="22"/>
          <w:szCs w:val="22"/>
        </w:rPr>
        <w:t xml:space="preserve"> visita ao Perímetro do Baixio de Irecê, onde serão executados os serviços, objeto destas especificações técnicas e anexos, </w:t>
      </w:r>
      <w:r>
        <w:rPr>
          <w:sz w:val="22"/>
          <w:szCs w:val="22"/>
        </w:rPr>
        <w:t xml:space="preserve">os custos </w:t>
      </w:r>
      <w:r w:rsidRPr="000161CF">
        <w:rPr>
          <w:sz w:val="22"/>
          <w:szCs w:val="22"/>
        </w:rPr>
        <w:t>serão por conta das licitantes.</w:t>
      </w:r>
    </w:p>
    <w:p w:rsidR="00CB06A1" w:rsidRPr="000161CF" w:rsidRDefault="005E6B31" w:rsidP="005E6B31">
      <w:pPr>
        <w:tabs>
          <w:tab w:val="num" w:pos="1134"/>
        </w:tabs>
        <w:spacing w:before="120" w:after="120"/>
        <w:ind w:left="1134" w:hanging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B06A1" w:rsidRPr="000161CF">
        <w:rPr>
          <w:sz w:val="22"/>
          <w:szCs w:val="22"/>
        </w:rPr>
        <w:t xml:space="preserve">A Contratada deverá, no decorrer da execução dos serviços, atender às exigências e recomendações que porventura forem feitas pelos Órgãos Ambientais. Para o cumprimento deste atendimento, onde implique custos adicionais, não previstos em CONTRATO, esta deverá apresentar à CODEVASF, as exigências e detalhamento dos custos para as providências </w:t>
      </w:r>
      <w:r w:rsidRPr="000161CF">
        <w:rPr>
          <w:sz w:val="22"/>
          <w:szCs w:val="22"/>
        </w:rPr>
        <w:t>subsequentes</w:t>
      </w:r>
      <w:r w:rsidR="00CB06A1" w:rsidRPr="000161CF">
        <w:rPr>
          <w:sz w:val="22"/>
          <w:szCs w:val="22"/>
        </w:rPr>
        <w:t>.</w:t>
      </w:r>
    </w:p>
    <w:p w:rsidR="00CB06A1" w:rsidRPr="000161CF" w:rsidRDefault="00CB06A1" w:rsidP="005E6B31">
      <w:pPr>
        <w:numPr>
          <w:ilvl w:val="0"/>
          <w:numId w:val="2"/>
        </w:numPr>
        <w:tabs>
          <w:tab w:val="clear" w:pos="785"/>
          <w:tab w:val="num" w:pos="1134"/>
        </w:tabs>
        <w:suppressAutoHyphens w:val="0"/>
        <w:autoSpaceDE w:val="0"/>
        <w:autoSpaceDN w:val="0"/>
        <w:spacing w:before="120" w:after="120"/>
        <w:ind w:left="1134" w:hanging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 xml:space="preserve">A CONTRATADA será responsabilizada por todos e quaisquer danos e avarias causados por ela, por seus funcionários e/ou por terceiros que esta venha a sublocar execuções de atividades específicas e sazonais, à infraestrutura do Perímetro. A restauração dos danos e avarias causados deverá ser de imediato, </w:t>
      </w:r>
      <w:proofErr w:type="gramStart"/>
      <w:r w:rsidRPr="000161CF">
        <w:rPr>
          <w:sz w:val="22"/>
          <w:szCs w:val="22"/>
        </w:rPr>
        <w:t>sob pena</w:t>
      </w:r>
      <w:proofErr w:type="gramEnd"/>
      <w:r w:rsidRPr="000161CF">
        <w:rPr>
          <w:sz w:val="22"/>
          <w:szCs w:val="22"/>
        </w:rPr>
        <w:t xml:space="preserve"> da não liberação de pagamentos.</w:t>
      </w:r>
    </w:p>
    <w:p w:rsidR="00CB06A1" w:rsidRPr="000161CF" w:rsidRDefault="00CB06A1" w:rsidP="005E6B31">
      <w:pPr>
        <w:numPr>
          <w:ilvl w:val="0"/>
          <w:numId w:val="2"/>
        </w:numPr>
        <w:tabs>
          <w:tab w:val="clear" w:pos="785"/>
          <w:tab w:val="num" w:pos="1134"/>
        </w:tabs>
        <w:suppressAutoHyphens w:val="0"/>
        <w:autoSpaceDE w:val="0"/>
        <w:autoSpaceDN w:val="0"/>
        <w:spacing w:before="120" w:after="120"/>
        <w:ind w:left="1134" w:hanging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A CONTRATADA será responsabilizada por quaisquer acidentes de trabalho, do seu quadro funcional, durante a execução do CONTRATO.</w:t>
      </w:r>
    </w:p>
    <w:p w:rsidR="00CB06A1" w:rsidRPr="000161CF" w:rsidRDefault="00CB06A1" w:rsidP="005E6B31">
      <w:pPr>
        <w:numPr>
          <w:ilvl w:val="0"/>
          <w:numId w:val="2"/>
        </w:numPr>
        <w:tabs>
          <w:tab w:val="clear" w:pos="785"/>
          <w:tab w:val="num" w:pos="1134"/>
        </w:tabs>
        <w:suppressAutoHyphens w:val="0"/>
        <w:autoSpaceDE w:val="0"/>
        <w:autoSpaceDN w:val="0"/>
        <w:spacing w:before="120" w:after="120"/>
        <w:ind w:left="1134" w:hanging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A CONTRATADA é obrigada a cumprir às Leis Sociais e Trabalhistas e a pagar os impostos municipais, estaduais e federais, necessários, que venham a incidir sobre a execução dos Serviços das Especificações Técnicas e anexos.</w:t>
      </w:r>
    </w:p>
    <w:p w:rsidR="00CB06A1" w:rsidRPr="000449EE" w:rsidRDefault="00CB06A1" w:rsidP="005E6B31">
      <w:pPr>
        <w:numPr>
          <w:ilvl w:val="0"/>
          <w:numId w:val="2"/>
        </w:numPr>
        <w:tabs>
          <w:tab w:val="clear" w:pos="785"/>
          <w:tab w:val="num" w:pos="1134"/>
        </w:tabs>
        <w:suppressAutoHyphens w:val="0"/>
        <w:autoSpaceDE w:val="0"/>
        <w:autoSpaceDN w:val="0"/>
        <w:spacing w:before="120" w:after="120"/>
        <w:ind w:left="1134" w:hanging="567"/>
        <w:jc w:val="both"/>
        <w:rPr>
          <w:sz w:val="22"/>
          <w:szCs w:val="22"/>
        </w:rPr>
      </w:pPr>
      <w:r w:rsidRPr="000449EE">
        <w:rPr>
          <w:sz w:val="22"/>
          <w:szCs w:val="22"/>
        </w:rPr>
        <w:t xml:space="preserve">A CONTRATADA é obrigada a fornecer e fazer cumprir a utilização de </w:t>
      </w:r>
      <w:proofErr w:type="spellStart"/>
      <w:r w:rsidRPr="000449EE">
        <w:rPr>
          <w:sz w:val="22"/>
          <w:szCs w:val="22"/>
        </w:rPr>
        <w:t>EPIs</w:t>
      </w:r>
      <w:proofErr w:type="spellEnd"/>
      <w:r w:rsidRPr="000449EE">
        <w:rPr>
          <w:sz w:val="22"/>
          <w:szCs w:val="22"/>
        </w:rPr>
        <w:t xml:space="preserve"> específicos para as atividades desenvolvidas, sendo que os custos decorrentes não serão passíveis de reembolso pela CODEVASF.</w:t>
      </w:r>
    </w:p>
    <w:p w:rsidR="00CB06A1" w:rsidRPr="000161CF" w:rsidRDefault="00CB06A1" w:rsidP="005E6B31">
      <w:pPr>
        <w:numPr>
          <w:ilvl w:val="0"/>
          <w:numId w:val="2"/>
        </w:numPr>
        <w:tabs>
          <w:tab w:val="clear" w:pos="785"/>
          <w:tab w:val="num" w:pos="1134"/>
        </w:tabs>
        <w:suppressAutoHyphens w:val="0"/>
        <w:autoSpaceDE w:val="0"/>
        <w:autoSpaceDN w:val="0"/>
        <w:spacing w:before="120" w:after="120"/>
        <w:ind w:left="1134" w:hanging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 xml:space="preserve">A CONTRATADA é responsável pela substituição, de imediato, após notificação do Fiscal da CONTRATANTE, de funcionário que se apresente de conhecimento e experiência inferior </w:t>
      </w:r>
      <w:proofErr w:type="gramStart"/>
      <w:r w:rsidRPr="000161CF">
        <w:rPr>
          <w:sz w:val="22"/>
          <w:szCs w:val="22"/>
        </w:rPr>
        <w:t>a</w:t>
      </w:r>
      <w:proofErr w:type="gramEnd"/>
      <w:r w:rsidRPr="000161CF">
        <w:rPr>
          <w:sz w:val="22"/>
          <w:szCs w:val="22"/>
        </w:rPr>
        <w:t xml:space="preserve"> exigida nestas Especificações Técnicas.</w:t>
      </w:r>
    </w:p>
    <w:p w:rsidR="00CB06A1" w:rsidRPr="000161CF" w:rsidRDefault="00CB06A1" w:rsidP="005E6B31">
      <w:pPr>
        <w:numPr>
          <w:ilvl w:val="0"/>
          <w:numId w:val="2"/>
        </w:numPr>
        <w:tabs>
          <w:tab w:val="clear" w:pos="785"/>
          <w:tab w:val="num" w:pos="1134"/>
        </w:tabs>
        <w:suppressAutoHyphens w:val="0"/>
        <w:autoSpaceDE w:val="0"/>
        <w:autoSpaceDN w:val="0"/>
        <w:spacing w:before="120" w:after="120"/>
        <w:ind w:left="1134" w:hanging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A CONTRATADA será responsável pela retirada do Projeto de Irrigação, num prazo de quarenta e oito horas, de todo e qualquer material impugnado pelo Fiscal da CONTRATANTE.</w:t>
      </w:r>
    </w:p>
    <w:p w:rsidR="00CB06A1" w:rsidRPr="006422FF" w:rsidRDefault="00CB06A1" w:rsidP="005E6B31">
      <w:pPr>
        <w:numPr>
          <w:ilvl w:val="0"/>
          <w:numId w:val="2"/>
        </w:numPr>
        <w:tabs>
          <w:tab w:val="clear" w:pos="785"/>
          <w:tab w:val="num" w:pos="1134"/>
        </w:tabs>
        <w:suppressAutoHyphens w:val="0"/>
        <w:autoSpaceDE w:val="0"/>
        <w:autoSpaceDN w:val="0"/>
        <w:spacing w:before="120" w:after="120"/>
        <w:ind w:left="1134" w:hanging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 xml:space="preserve">As Licitantes poderão, ao seu critério, com o objetivo de consubstanciar suas propostas à Licitação, conhecer nos arquivos da CODEVASF, informações adicionais do Projeto de Irrigação, além das apresentadas nestas Especificações Técnicas, podendo, às suas expensas, reproduzi-las. </w:t>
      </w:r>
    </w:p>
    <w:p w:rsidR="00CB06A1" w:rsidRPr="000161CF" w:rsidRDefault="00CB06A1" w:rsidP="005E6B31">
      <w:pPr>
        <w:numPr>
          <w:ilvl w:val="0"/>
          <w:numId w:val="3"/>
        </w:numPr>
        <w:spacing w:before="120" w:after="120"/>
        <w:ind w:left="567" w:hanging="567"/>
        <w:jc w:val="both"/>
        <w:rPr>
          <w:b/>
          <w:sz w:val="22"/>
          <w:szCs w:val="22"/>
        </w:rPr>
      </w:pPr>
      <w:r w:rsidRPr="000161CF">
        <w:rPr>
          <w:b/>
          <w:sz w:val="22"/>
          <w:szCs w:val="22"/>
        </w:rPr>
        <w:lastRenderedPageBreak/>
        <w:t>INFORMAÇÕES DISPONÍVEIS:</w:t>
      </w:r>
    </w:p>
    <w:p w:rsidR="00CB06A1" w:rsidRPr="000161CF" w:rsidRDefault="00CB06A1" w:rsidP="00CB06A1">
      <w:pPr>
        <w:spacing w:before="120" w:after="120"/>
        <w:ind w:left="539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Fazem parte das especificações os documentos abaixo relacionados, que estarão disponíveis na CODEVASF – 2ª SR para consulta e/ou reprodução:</w:t>
      </w:r>
    </w:p>
    <w:p w:rsidR="00CB06A1" w:rsidRPr="000161CF" w:rsidRDefault="00CB06A1" w:rsidP="00CB06A1">
      <w:pPr>
        <w:spacing w:before="120" w:after="120"/>
        <w:ind w:left="539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Plantas gerais;</w:t>
      </w:r>
    </w:p>
    <w:p w:rsidR="00CB06A1" w:rsidRPr="001C00B9" w:rsidRDefault="00CB06A1" w:rsidP="00CB06A1">
      <w:pPr>
        <w:spacing w:before="120" w:after="120"/>
        <w:jc w:val="both"/>
        <w:rPr>
          <w:sz w:val="22"/>
          <w:szCs w:val="22"/>
        </w:rPr>
      </w:pPr>
      <w:r w:rsidRPr="000161CF">
        <w:rPr>
          <w:sz w:val="22"/>
          <w:szCs w:val="22"/>
        </w:rPr>
        <w:t xml:space="preserve">         </w:t>
      </w:r>
      <w:r w:rsidRPr="001C00B9">
        <w:rPr>
          <w:sz w:val="22"/>
          <w:szCs w:val="22"/>
        </w:rPr>
        <w:t>Inventário Florestal;</w:t>
      </w:r>
    </w:p>
    <w:p w:rsidR="00CB06A1" w:rsidRPr="000161CF" w:rsidRDefault="00CB06A1" w:rsidP="00CB06A1">
      <w:pPr>
        <w:spacing w:before="120" w:after="120"/>
        <w:jc w:val="both"/>
        <w:rPr>
          <w:sz w:val="22"/>
          <w:szCs w:val="22"/>
        </w:rPr>
      </w:pPr>
      <w:r w:rsidRPr="001C00B9">
        <w:rPr>
          <w:sz w:val="22"/>
          <w:szCs w:val="22"/>
        </w:rPr>
        <w:t xml:space="preserve">         Planos de resgate da fauna e de supressão vegetal.</w:t>
      </w:r>
    </w:p>
    <w:p w:rsidR="00CB06A1" w:rsidRPr="000161CF" w:rsidRDefault="00CB06A1" w:rsidP="005E6B31">
      <w:pPr>
        <w:numPr>
          <w:ilvl w:val="0"/>
          <w:numId w:val="3"/>
        </w:numPr>
        <w:suppressAutoHyphens w:val="0"/>
        <w:autoSpaceDE w:val="0"/>
        <w:autoSpaceDN w:val="0"/>
        <w:spacing w:before="120" w:after="120"/>
        <w:ind w:left="567" w:hanging="567"/>
        <w:jc w:val="both"/>
        <w:rPr>
          <w:b/>
          <w:bCs/>
          <w:sz w:val="22"/>
          <w:szCs w:val="22"/>
          <w:u w:val="single"/>
        </w:rPr>
      </w:pPr>
      <w:r w:rsidRPr="000161CF">
        <w:rPr>
          <w:b/>
          <w:bCs/>
          <w:sz w:val="22"/>
          <w:szCs w:val="22"/>
          <w:u w:val="single"/>
        </w:rPr>
        <w:t>CONSIDERAÇÕES FINAIS:</w:t>
      </w:r>
    </w:p>
    <w:p w:rsidR="00CB06A1" w:rsidRPr="000161CF" w:rsidRDefault="00CB06A1" w:rsidP="005E6B31">
      <w:pPr>
        <w:numPr>
          <w:ilvl w:val="12"/>
          <w:numId w:val="0"/>
        </w:numPr>
        <w:spacing w:before="120" w:after="120"/>
        <w:ind w:left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>Os serviços que serão executados de acordo com estas Especificações se desenvolverão em Projeto de Irrigação, em fase de início da operação e com obras complementares em andamento.</w:t>
      </w:r>
    </w:p>
    <w:p w:rsidR="00CB06A1" w:rsidRPr="000161CF" w:rsidRDefault="00CB06A1" w:rsidP="005E6B31">
      <w:pPr>
        <w:numPr>
          <w:ilvl w:val="12"/>
          <w:numId w:val="0"/>
        </w:numPr>
        <w:spacing w:before="120" w:after="120"/>
        <w:ind w:left="567"/>
        <w:jc w:val="both"/>
        <w:rPr>
          <w:sz w:val="22"/>
          <w:szCs w:val="22"/>
        </w:rPr>
      </w:pPr>
      <w:r w:rsidRPr="000161CF">
        <w:rPr>
          <w:sz w:val="22"/>
          <w:szCs w:val="22"/>
        </w:rPr>
        <w:t xml:space="preserve">Deverão observar tubulações do sistema adutor ou distribuição de água do projeto, canais de drenagem principal para evitar danos e </w:t>
      </w:r>
      <w:r w:rsidR="005E6B31" w:rsidRPr="000161CF">
        <w:rPr>
          <w:sz w:val="22"/>
          <w:szCs w:val="22"/>
        </w:rPr>
        <w:t>consequentes</w:t>
      </w:r>
      <w:r w:rsidRPr="000161CF">
        <w:rPr>
          <w:sz w:val="22"/>
          <w:szCs w:val="22"/>
        </w:rPr>
        <w:t xml:space="preserve"> prejuízos. Qualquer interferência com tubulações do sistema de distribuição e em canais de drenagem deverá ser sinalizada para perfeita caracterização do local e alerta aos operadores de equipamentos. Será de responsabilidade da contratada o ônus decorrente de danos causados aos sistemas de distribuição de água decorrente de falhas de operários ou equipamentos utilizados na execução das obras.</w:t>
      </w:r>
    </w:p>
    <w:p w:rsidR="00CB06A1" w:rsidRPr="000161CF" w:rsidRDefault="00CB06A1" w:rsidP="005E6B31">
      <w:pPr>
        <w:numPr>
          <w:ilvl w:val="12"/>
          <w:numId w:val="0"/>
        </w:numPr>
        <w:spacing w:before="120" w:after="120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Os serviços de gradagem</w:t>
      </w:r>
      <w:r w:rsidRPr="000161CF">
        <w:rPr>
          <w:sz w:val="22"/>
          <w:szCs w:val="22"/>
        </w:rPr>
        <w:t xml:space="preserve"> só deverão ser iniciados após a Ordem de Serviço e orientações da Fiscalização para a condução dos trabalhos</w:t>
      </w:r>
      <w:r w:rsidRPr="000161CF">
        <w:rPr>
          <w:sz w:val="22"/>
          <w:szCs w:val="22"/>
          <w:shd w:val="clear" w:color="auto" w:fill="FFFFFF"/>
        </w:rPr>
        <w:t>.</w:t>
      </w:r>
    </w:p>
    <w:p w:rsidR="00CB06A1" w:rsidRPr="000161CF" w:rsidRDefault="00CB06A1" w:rsidP="005E6B31">
      <w:pPr>
        <w:numPr>
          <w:ilvl w:val="0"/>
          <w:numId w:val="3"/>
        </w:numPr>
        <w:spacing w:before="120" w:after="120"/>
        <w:ind w:left="567" w:hanging="567"/>
        <w:jc w:val="both"/>
        <w:rPr>
          <w:b/>
          <w:sz w:val="22"/>
          <w:szCs w:val="22"/>
          <w:u w:val="single"/>
        </w:rPr>
      </w:pPr>
      <w:r w:rsidRPr="000161CF">
        <w:rPr>
          <w:b/>
          <w:sz w:val="22"/>
          <w:szCs w:val="22"/>
          <w:u w:val="single"/>
        </w:rPr>
        <w:t>PRAZO PARA EXECUÇÃO DOS SERVIÇOS:</w:t>
      </w:r>
    </w:p>
    <w:p w:rsidR="00CB06A1" w:rsidRPr="000161CF" w:rsidRDefault="00CB06A1" w:rsidP="00CB06A1">
      <w:pPr>
        <w:spacing w:before="120" w:after="120"/>
        <w:ind w:left="539"/>
        <w:jc w:val="both"/>
        <w:rPr>
          <w:sz w:val="22"/>
          <w:szCs w:val="22"/>
        </w:rPr>
      </w:pPr>
      <w:r w:rsidRPr="001C00B9">
        <w:rPr>
          <w:sz w:val="22"/>
          <w:szCs w:val="22"/>
        </w:rPr>
        <w:t>60 (sessenta) dias corridos, contados a partir d</w:t>
      </w:r>
      <w:r>
        <w:rPr>
          <w:sz w:val="22"/>
          <w:szCs w:val="22"/>
        </w:rPr>
        <w:t>a emissão da ordem de serviço pela fiscalização</w:t>
      </w:r>
      <w:r w:rsidRPr="001C00B9">
        <w:rPr>
          <w:sz w:val="22"/>
          <w:szCs w:val="22"/>
        </w:rPr>
        <w:t>.</w:t>
      </w:r>
    </w:p>
    <w:p w:rsidR="00834C91" w:rsidRDefault="00834C91"/>
    <w:sectPr w:rsidR="00834C91" w:rsidSect="00CB06A1">
      <w:headerReference w:type="default" r:id="rId8"/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4255" w:rsidRDefault="009B4255" w:rsidP="00CB06A1">
      <w:r>
        <w:separator/>
      </w:r>
    </w:p>
  </w:endnote>
  <w:endnote w:type="continuationSeparator" w:id="0">
    <w:p w:rsidR="009B4255" w:rsidRDefault="009B4255" w:rsidP="00CB0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4255" w:rsidRDefault="009B4255" w:rsidP="00CB06A1">
      <w:r>
        <w:separator/>
      </w:r>
    </w:p>
  </w:footnote>
  <w:footnote w:type="continuationSeparator" w:id="0">
    <w:p w:rsidR="009B4255" w:rsidRDefault="009B4255" w:rsidP="00CB06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06A1" w:rsidRDefault="00267B00">
    <w:pPr>
      <w:pStyle w:val="Cabealho"/>
    </w:pPr>
    <w:r>
      <w:rPr>
        <w:noProof/>
        <w:lang w:eastAsia="pt-B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9.6pt;margin-top:-15.45pt;width:137.25pt;height:27.3pt;z-index:251658240;mso-wrap-distance-left:9.05pt;mso-wrap-distance-right:9.05pt" filled="t">
          <v:fill color2="black"/>
          <v:imagedata r:id="rId1" o:title=""/>
          <w10:wrap type="topAndBottom"/>
        </v:shape>
        <o:OLEObject Type="Embed" ProgID="Figura" ShapeID="_x0000_s2049" DrawAspect="Content" ObjectID="_1585481072" r:id="rId2"/>
      </w:pict>
    </w:r>
  </w:p>
  <w:p w:rsidR="00CB06A1" w:rsidRPr="00CB06A1" w:rsidRDefault="00CB06A1" w:rsidP="00CB06A1">
    <w:pPr>
      <w:jc w:val="both"/>
    </w:pPr>
    <w:r>
      <w:t xml:space="preserve">                                                    </w:t>
    </w:r>
    <w:r w:rsidRPr="00CB06A1">
      <w:t>Ministério da Integração Nacional – MI</w:t>
    </w:r>
  </w:p>
  <w:p w:rsidR="00CB06A1" w:rsidRPr="00CB06A1" w:rsidRDefault="00CB06A1" w:rsidP="00CB06A1">
    <w:pPr>
      <w:pStyle w:val="Cabealho"/>
      <w:jc w:val="both"/>
    </w:pPr>
    <w:r>
      <w:t xml:space="preserve">                                                    </w:t>
    </w:r>
    <w:r w:rsidRPr="00CB06A1">
      <w:t>Companhia de Desenvolvimento dos Vales do São Francisco e do Parnaíba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530EE"/>
    <w:multiLevelType w:val="multilevel"/>
    <w:tmpl w:val="7212BEFC"/>
    <w:lvl w:ilvl="0">
      <w:start w:val="1"/>
      <w:numFmt w:val="decimal"/>
      <w:lvlText w:val="%1."/>
      <w:lvlJc w:val="left"/>
      <w:pPr>
        <w:tabs>
          <w:tab w:val="num" w:pos="539"/>
        </w:tabs>
        <w:ind w:left="539" w:hanging="397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851" w:hanging="454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559" w:hanging="708"/>
      </w:pPr>
    </w:lvl>
    <w:lvl w:ilvl="3">
      <w:start w:val="1"/>
      <w:numFmt w:val="decimal"/>
      <w:lvlText w:val="%1.%2.%3.%4."/>
      <w:lvlJc w:val="left"/>
      <w:pPr>
        <w:tabs>
          <w:tab w:val="num" w:pos="2639"/>
        </w:tabs>
        <w:ind w:left="2267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975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83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91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099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807" w:hanging="708"/>
      </w:pPr>
    </w:lvl>
  </w:abstractNum>
  <w:abstractNum w:abstractNumId="1">
    <w:nsid w:val="413D70AD"/>
    <w:multiLevelType w:val="multilevel"/>
    <w:tmpl w:val="7E6445F6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-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-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-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-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-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-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-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-%3.%4.%5.%6.%7.%8.%9."/>
      <w:lvlJc w:val="left"/>
      <w:pPr>
        <w:ind w:left="4072" w:hanging="1800"/>
      </w:pPr>
      <w:rPr>
        <w:rFonts w:hint="default"/>
      </w:rPr>
    </w:lvl>
  </w:abstractNum>
  <w:abstractNum w:abstractNumId="2">
    <w:nsid w:val="681F3189"/>
    <w:multiLevelType w:val="hybridMultilevel"/>
    <w:tmpl w:val="1858509A"/>
    <w:lvl w:ilvl="0" w:tplc="0416000F">
      <w:start w:val="1"/>
      <w:numFmt w:val="decimal"/>
      <w:lvlText w:val="%1.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E55722E"/>
    <w:multiLevelType w:val="multilevel"/>
    <w:tmpl w:val="BEA2C2F2"/>
    <w:lvl w:ilvl="0">
      <w:start w:val="1"/>
      <w:numFmt w:val="lowerLetter"/>
      <w:lvlText w:val="%1)"/>
      <w:lvlJc w:val="left"/>
      <w:pPr>
        <w:tabs>
          <w:tab w:val="num" w:pos="785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B06A1"/>
    <w:rsid w:val="000818F5"/>
    <w:rsid w:val="000C20F4"/>
    <w:rsid w:val="00267B00"/>
    <w:rsid w:val="00344C3C"/>
    <w:rsid w:val="005E6B31"/>
    <w:rsid w:val="00834C91"/>
    <w:rsid w:val="009B4255"/>
    <w:rsid w:val="00AE78D4"/>
    <w:rsid w:val="00BB607E"/>
    <w:rsid w:val="00C76EA7"/>
    <w:rsid w:val="00CB06A1"/>
    <w:rsid w:val="00CD26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pt-BR" w:eastAsia="en-US" w:bidi="ar-SA"/>
      </w:rPr>
    </w:rPrDefault>
    <w:pPrDefault>
      <w:pPr>
        <w:spacing w:after="28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6A1"/>
    <w:pPr>
      <w:suppressAutoHyphens/>
      <w:spacing w:after="0"/>
      <w:jc w:val="left"/>
    </w:pPr>
    <w:rPr>
      <w:rFonts w:eastAsia="Times New Roman"/>
      <w:sz w:val="20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rsid w:val="00CB06A1"/>
    <w:rPr>
      <w:sz w:val="24"/>
    </w:rPr>
  </w:style>
  <w:style w:type="character" w:customStyle="1" w:styleId="CorpodetextoChar">
    <w:name w:val="Corpo de texto Char"/>
    <w:basedOn w:val="Fontepargpadro"/>
    <w:link w:val="Corpodetexto"/>
    <w:rsid w:val="00CB06A1"/>
    <w:rPr>
      <w:rFonts w:eastAsia="Times New Roman"/>
      <w:szCs w:val="20"/>
      <w:lang w:eastAsia="ar-SA"/>
    </w:rPr>
  </w:style>
  <w:style w:type="character" w:styleId="Hyperlink">
    <w:name w:val="Hyperlink"/>
    <w:rsid w:val="00CB06A1"/>
    <w:rPr>
      <w:color w:val="0000FF"/>
      <w:u w:val="single"/>
    </w:rPr>
  </w:style>
  <w:style w:type="paragraph" w:customStyle="1" w:styleId="SubItem2">
    <w:name w:val="SubItem2"/>
    <w:basedOn w:val="Normal"/>
    <w:rsid w:val="00CB06A1"/>
    <w:pPr>
      <w:autoSpaceDE w:val="0"/>
      <w:spacing w:before="240"/>
      <w:jc w:val="both"/>
    </w:pPr>
    <w:rPr>
      <w:rFonts w:ascii="Arial" w:hAnsi="Arial" w:cs="Arial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CB06A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CB06A1"/>
    <w:rPr>
      <w:rFonts w:eastAsia="Times New Roman"/>
      <w:sz w:val="20"/>
      <w:szCs w:val="20"/>
      <w:lang w:eastAsia="ar-SA"/>
    </w:rPr>
  </w:style>
  <w:style w:type="paragraph" w:styleId="Rodap">
    <w:name w:val="footer"/>
    <w:basedOn w:val="Normal"/>
    <w:link w:val="RodapChar"/>
    <w:uiPriority w:val="99"/>
    <w:semiHidden/>
    <w:unhideWhenUsed/>
    <w:rsid w:val="00CB06A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semiHidden/>
    <w:rsid w:val="00CB06A1"/>
    <w:rPr>
      <w:rFonts w:eastAsia="Times New Roman"/>
      <w:sz w:val="20"/>
      <w:szCs w:val="20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B06A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B06A1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WW8Num6z2">
    <w:name w:val="WW8Num6z2"/>
    <w:rsid w:val="00CB06A1"/>
    <w:rPr>
      <w:rFonts w:ascii="StarSymbol" w:hAnsi="StarSymbol" w:cs="StarSymbol"/>
      <w:sz w:val="18"/>
      <w:szCs w:val="18"/>
    </w:rPr>
  </w:style>
  <w:style w:type="paragraph" w:styleId="PargrafodaLista">
    <w:name w:val="List Paragraph"/>
    <w:basedOn w:val="Normal"/>
    <w:uiPriority w:val="34"/>
    <w:qFormat/>
    <w:rsid w:val="005E6B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tegracao.gov.b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1079</Words>
  <Characters>5831</Characters>
  <Application>Microsoft Office Word</Application>
  <DocSecurity>0</DocSecurity>
  <Lines>48</Lines>
  <Paragraphs>13</Paragraphs>
  <ScaleCrop>false</ScaleCrop>
  <Company/>
  <LinksUpToDate>false</LinksUpToDate>
  <CharactersWithSpaces>6897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Joao Carlos de Souza Machado</dc:creator>
  <cp:lastModifiedBy>Joao Carlos de Souza Machado</cp:lastModifiedBy>
  <cp:revision>4</cp:revision>
  <dcterms:created xsi:type="dcterms:W3CDTF">2018-04-16T17:22:00Z</dcterms:created>
  <dcterms:modified xsi:type="dcterms:W3CDTF">2018-04-17T17:38:00Z</dcterms:modified>
</cp:coreProperties>
</file>