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C5" w:rsidRDefault="00B87AC5" w:rsidP="00B87AC5">
      <w:pPr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ANEXO </w:t>
      </w:r>
      <w:r w:rsidR="008C0655">
        <w:rPr>
          <w:b/>
          <w:sz w:val="22"/>
          <w:szCs w:val="22"/>
        </w:rPr>
        <w:t>V</w:t>
      </w:r>
      <w:r>
        <w:rPr>
          <w:b/>
          <w:sz w:val="22"/>
          <w:szCs w:val="22"/>
        </w:rPr>
        <w:t>II</w:t>
      </w:r>
    </w:p>
    <w:p w:rsidR="00B87AC5" w:rsidRDefault="00B87AC5" w:rsidP="00B87AC5">
      <w:pPr>
        <w:spacing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DESENHO ESQUEMÁTICO DO KIT DE IRRIGAÇÃO</w:t>
      </w:r>
    </w:p>
    <w:p w:rsidR="00B87AC5" w:rsidRPr="003E012B" w:rsidRDefault="00B87AC5" w:rsidP="00B87AC5">
      <w:pPr>
        <w:spacing w:after="120"/>
        <w:jc w:val="center"/>
        <w:rPr>
          <w:b/>
          <w:sz w:val="22"/>
          <w:szCs w:val="22"/>
        </w:rPr>
      </w:pPr>
      <w:r w:rsidRPr="003E012B">
        <w:rPr>
          <w:b/>
          <w:noProof/>
          <w:sz w:val="22"/>
          <w:szCs w:val="22"/>
        </w:rPr>
        <w:drawing>
          <wp:inline distT="0" distB="0" distL="0" distR="0">
            <wp:extent cx="6002375" cy="3206763"/>
            <wp:effectExtent l="19050" t="19050" r="17425" b="12687"/>
            <wp:docPr id="1" name="Imagem 3" descr="C:\Users\mauricio.nascimento\Desktop\Documentos Codevasf\TRs Elaborados\Kits de Irrigação\Sist irri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uricio.nascimento\Desktop\Documentos Codevasf\TRs Elaborados\Kits de Irrigação\Sist irrig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057" cy="32178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"/>
        <w:gridCol w:w="7844"/>
      </w:tblGrid>
      <w:tr w:rsidR="00B87AC5" w:rsidRPr="003E012B" w:rsidTr="00BF0471">
        <w:trPr>
          <w:trHeight w:hRule="exact" w:val="34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jc w:val="center"/>
              <w:rPr>
                <w:b/>
              </w:rPr>
            </w:pPr>
            <w:r w:rsidRPr="003E012B">
              <w:rPr>
                <w:b/>
              </w:rPr>
              <w:t>ITEM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jc w:val="center"/>
              <w:rPr>
                <w:b/>
              </w:rPr>
            </w:pPr>
            <w:r w:rsidRPr="003E012B">
              <w:rPr>
                <w:b/>
              </w:rPr>
              <w:t>Discriminação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01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 xml:space="preserve">Linha lateral - Tubo Gotejador de </w:t>
            </w:r>
            <w:proofErr w:type="gramStart"/>
            <w:r w:rsidRPr="003E012B">
              <w:t>8</w:t>
            </w:r>
            <w:proofErr w:type="gramEnd"/>
            <w:r w:rsidRPr="003E012B">
              <w:t xml:space="preserve"> mm de diâmetro, gotejador “in line” com vazão </w:t>
            </w:r>
            <w:r w:rsidRPr="003E012B">
              <w:rPr>
                <w:color w:val="000000" w:themeColor="text1"/>
              </w:rPr>
              <w:t>entre 0,47 e 1,87</w:t>
            </w:r>
            <w:r w:rsidRPr="003E012B">
              <w:t xml:space="preserve"> L/h, a 1,5 m.c.a., espaçados de 0,30 m em 0,30 m, com proteção contra </w:t>
            </w:r>
            <w:r w:rsidRPr="003E012B">
              <w:rPr>
                <w:color w:val="000000" w:themeColor="text1"/>
              </w:rPr>
              <w:t>raios</w:t>
            </w:r>
            <w:r w:rsidRPr="003E012B">
              <w:t xml:space="preserve"> UV. 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02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 xml:space="preserve">Linha de distribuição - Tubo Polietileno de 20 mm de diâmetro, com proteção contra </w:t>
            </w:r>
            <w:r w:rsidRPr="003E012B">
              <w:rPr>
                <w:color w:val="000000" w:themeColor="text1"/>
              </w:rPr>
              <w:t>raios</w:t>
            </w:r>
            <w:r w:rsidRPr="003E012B">
              <w:t xml:space="preserve"> UV.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03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>Filtro de Tela – 1 pol.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04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 xml:space="preserve">Registro de esfera, PVC, DN </w:t>
            </w:r>
            <w:proofErr w:type="gramStart"/>
            <w:r w:rsidRPr="003E012B">
              <w:t>1</w:t>
            </w:r>
            <w:proofErr w:type="gramEnd"/>
            <w:r w:rsidRPr="003E012B">
              <w:t xml:space="preserve"> pol, Roscável.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05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>Conector dentado macho com mesmo diâmetro do Tubo Gotejador.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06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 xml:space="preserve">Te de Red. PVC </w:t>
            </w:r>
            <w:proofErr w:type="gramStart"/>
            <w:r w:rsidRPr="003E012B">
              <w:t>1</w:t>
            </w:r>
            <w:proofErr w:type="gramEnd"/>
            <w:r w:rsidRPr="003E012B">
              <w:t xml:space="preserve"> x ¾ pol. Roscável.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07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>Niple PVC Roscável,</w:t>
            </w:r>
            <w:proofErr w:type="gramStart"/>
            <w:r w:rsidRPr="003E012B">
              <w:t xml:space="preserve">  </w:t>
            </w:r>
            <w:proofErr w:type="gramEnd"/>
            <w:r w:rsidRPr="003E012B">
              <w:t>1 pol.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08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>Adaptador final da linha lateral confeccionado com tubo de polietileno DN 16 mm.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09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>Conector para PE, de 20 mm x ¾ pol, rosca macho.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10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>Conector dentado de união de 20 mm.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11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 xml:space="preserve">Cap de PVC Roscável de </w:t>
            </w:r>
            <w:proofErr w:type="gramStart"/>
            <w:r w:rsidRPr="003E012B">
              <w:t>1</w:t>
            </w:r>
            <w:proofErr w:type="gramEnd"/>
            <w:r w:rsidRPr="003E012B">
              <w:t xml:space="preserve"> pol.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12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>Conector cotovelo dentado de 20 mm.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13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>Conector final da linha de derivação - 20 mm.</w:t>
            </w:r>
          </w:p>
        </w:tc>
      </w:tr>
      <w:tr w:rsidR="00B87AC5" w:rsidRPr="003E012B" w:rsidTr="00BF0471">
        <w:trPr>
          <w:trHeight w:val="20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  <w:jc w:val="center"/>
            </w:pPr>
            <w:r w:rsidRPr="003E012B">
              <w:t>14</w:t>
            </w:r>
          </w:p>
        </w:tc>
        <w:tc>
          <w:tcPr>
            <w:tcW w:w="8662" w:type="dxa"/>
            <w:shd w:val="clear" w:color="auto" w:fill="auto"/>
            <w:vAlign w:val="center"/>
          </w:tcPr>
          <w:p w:rsidR="00B87AC5" w:rsidRPr="003E012B" w:rsidRDefault="00B87AC5" w:rsidP="00BF0471">
            <w:pPr>
              <w:pStyle w:val="SemEspaamento"/>
            </w:pPr>
            <w:r w:rsidRPr="003E012B">
              <w:t xml:space="preserve">Adaptador flangeado, PVC, Macho DN </w:t>
            </w:r>
            <w:proofErr w:type="gramStart"/>
            <w:r w:rsidRPr="003E012B">
              <w:t>1</w:t>
            </w:r>
            <w:proofErr w:type="gramEnd"/>
            <w:r w:rsidRPr="003E012B">
              <w:t xml:space="preserve"> pol.</w:t>
            </w:r>
          </w:p>
        </w:tc>
      </w:tr>
    </w:tbl>
    <w:p w:rsidR="00B87AC5" w:rsidRPr="003E012B" w:rsidRDefault="00B87AC5" w:rsidP="00B87AC5">
      <w:pPr>
        <w:tabs>
          <w:tab w:val="left" w:pos="1403"/>
        </w:tabs>
        <w:rPr>
          <w:sz w:val="22"/>
          <w:szCs w:val="22"/>
        </w:rPr>
      </w:pPr>
    </w:p>
    <w:p w:rsidR="00834C91" w:rsidRDefault="00834C91"/>
    <w:sectPr w:rsidR="00834C91" w:rsidSect="00834C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87AC5"/>
    <w:rsid w:val="007D3C76"/>
    <w:rsid w:val="00834C91"/>
    <w:rsid w:val="008C0655"/>
    <w:rsid w:val="00B87AC5"/>
    <w:rsid w:val="00BB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AC5"/>
    <w:pPr>
      <w:spacing w:after="0"/>
      <w:jc w:val="left"/>
    </w:pPr>
    <w:rPr>
      <w:rFonts w:eastAsia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B87AC5"/>
    <w:pPr>
      <w:spacing w:after="0"/>
      <w:jc w:val="left"/>
    </w:pPr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7A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7AC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775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Carlos de Souza Machado</dc:creator>
  <cp:lastModifiedBy>Joao Carlos de Souza Machado</cp:lastModifiedBy>
  <cp:revision>2</cp:revision>
  <dcterms:created xsi:type="dcterms:W3CDTF">2016-10-11T12:10:00Z</dcterms:created>
  <dcterms:modified xsi:type="dcterms:W3CDTF">2016-10-11T12:13:00Z</dcterms:modified>
</cp:coreProperties>
</file>